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20" w:lineRule="exact"/>
        <w:jc w:val="left"/>
        <w:rPr>
          <w:rFonts w:ascii="黑体" w:hAnsi="黑体" w:eastAsia="黑体" w:cs="Times New Roman"/>
          <w:sz w:val="30"/>
          <w:szCs w:val="30"/>
        </w:rPr>
      </w:pPr>
      <w:r>
        <w:rPr>
          <w:rFonts w:hint="eastAsia" w:ascii="黑体" w:hAnsi="黑体" w:eastAsia="黑体" w:cs="Times New Roman"/>
          <w:sz w:val="30"/>
          <w:szCs w:val="30"/>
        </w:rPr>
        <w:t>附件</w:t>
      </w:r>
    </w:p>
    <w:p>
      <w:pPr>
        <w:overflowPunct w:val="0"/>
        <w:topLinePunct/>
        <w:adjustRightInd w:val="0"/>
        <w:snapToGrid w:val="0"/>
        <w:spacing w:line="400" w:lineRule="exact"/>
        <w:jc w:val="left"/>
        <w:rPr>
          <w:rFonts w:ascii="黑体" w:hAnsi="黑体" w:eastAsia="黑体" w:cs="Times New Roman"/>
          <w:sz w:val="30"/>
          <w:szCs w:val="30"/>
        </w:rPr>
      </w:pPr>
    </w:p>
    <w:p>
      <w:pPr>
        <w:overflowPunct w:val="0"/>
        <w:topLinePunct/>
        <w:adjustRightInd w:val="0"/>
        <w:snapToGrid w:val="0"/>
        <w:spacing w:line="520" w:lineRule="exact"/>
        <w:jc w:val="center"/>
        <w:rPr>
          <w:rFonts w:ascii="方正小标宋简体" w:hAnsi="Times New Roman" w:eastAsia="方正小标宋简体" w:cs="Times New Roman"/>
          <w:sz w:val="38"/>
          <w:szCs w:val="38"/>
        </w:rPr>
      </w:pPr>
      <w:r>
        <w:rPr>
          <w:rFonts w:hint="eastAsia" w:ascii="方正小标宋简体" w:hAnsi="Times New Roman" w:eastAsia="方正小标宋简体" w:cs="Times New Roman"/>
          <w:sz w:val="38"/>
          <w:szCs w:val="38"/>
        </w:rPr>
        <w:t>庄浪县深化投资建设领域“放管服”改革持续优化营商环境</w:t>
      </w:r>
    </w:p>
    <w:p>
      <w:pPr>
        <w:overflowPunct w:val="0"/>
        <w:topLinePunct/>
        <w:adjustRightInd w:val="0"/>
        <w:snapToGrid w:val="0"/>
        <w:spacing w:afterLines="50" w:line="520" w:lineRule="exact"/>
        <w:jc w:val="center"/>
        <w:rPr>
          <w:rFonts w:hint="eastAsia"/>
        </w:rPr>
      </w:pPr>
      <w:bookmarkStart w:id="0" w:name="_GoBack"/>
      <w:r>
        <w:rPr>
          <w:rFonts w:hint="eastAsia" w:ascii="方正小标宋简体" w:hAnsi="Times New Roman" w:eastAsia="方正小标宋简体" w:cs="Times New Roman"/>
          <w:sz w:val="38"/>
          <w:szCs w:val="38"/>
        </w:rPr>
        <w:t>实施方案重点任务分解表</w:t>
      </w:r>
    </w:p>
    <w:bookmarkEnd w:id="0"/>
    <w:tbl>
      <w:tblPr>
        <w:tblStyle w:val="6"/>
        <w:tblW w:w="1269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51" w:type="dxa"/>
          <w:bottom w:w="0" w:type="dxa"/>
          <w:right w:w="51" w:type="dxa"/>
        </w:tblCellMar>
      </w:tblPr>
      <w:tblGrid>
        <w:gridCol w:w="614"/>
        <w:gridCol w:w="1200"/>
        <w:gridCol w:w="5700"/>
        <w:gridCol w:w="1815"/>
        <w:gridCol w:w="2385"/>
        <w:gridCol w:w="98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665" w:hRule="atLeast"/>
          <w:tblHeader/>
          <w:jc w:val="center"/>
        </w:trPr>
        <w:tc>
          <w:tcPr>
            <w:tcW w:w="614" w:type="dxa"/>
            <w:tcBorders>
              <w:tl2br w:val="nil"/>
              <w:tr2bl w:val="nil"/>
            </w:tcBorders>
            <w:vAlign w:val="center"/>
          </w:tcPr>
          <w:p>
            <w:pPr>
              <w:overflowPunct w:val="0"/>
              <w:autoSpaceDE w:val="0"/>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1200" w:type="dxa"/>
            <w:tcBorders>
              <w:tl2br w:val="nil"/>
              <w:tr2bl w:val="nil"/>
            </w:tcBorders>
            <w:vAlign w:val="center"/>
          </w:tcPr>
          <w:p>
            <w:pPr>
              <w:overflowPunct w:val="0"/>
              <w:autoSpaceDE w:val="0"/>
              <w:adjustRightInd w:val="0"/>
              <w:snapToGrid w:val="0"/>
              <w:jc w:val="center"/>
              <w:rPr>
                <w:rFonts w:ascii="黑体" w:hAnsi="黑体" w:eastAsia="黑体" w:cs="黑体"/>
                <w:szCs w:val="21"/>
              </w:rPr>
            </w:pPr>
            <w:r>
              <w:rPr>
                <w:rFonts w:hint="eastAsia" w:ascii="黑体" w:hAnsi="黑体" w:eastAsia="黑体" w:cs="黑体"/>
                <w:szCs w:val="21"/>
              </w:rPr>
              <w:t>具体工作</w:t>
            </w:r>
          </w:p>
        </w:tc>
        <w:tc>
          <w:tcPr>
            <w:tcW w:w="5700" w:type="dxa"/>
            <w:tcBorders>
              <w:tl2br w:val="nil"/>
              <w:tr2bl w:val="nil"/>
            </w:tcBorders>
            <w:vAlign w:val="center"/>
          </w:tcPr>
          <w:p>
            <w:pPr>
              <w:overflowPunct w:val="0"/>
              <w:autoSpaceDE w:val="0"/>
              <w:adjustRightInd w:val="0"/>
              <w:snapToGrid w:val="0"/>
              <w:jc w:val="center"/>
              <w:rPr>
                <w:rFonts w:ascii="黑体" w:hAnsi="黑体" w:eastAsia="黑体" w:cs="黑体"/>
                <w:szCs w:val="21"/>
              </w:rPr>
            </w:pPr>
            <w:r>
              <w:rPr>
                <w:rFonts w:hint="eastAsia" w:ascii="黑体" w:hAnsi="黑体" w:eastAsia="黑体" w:cs="黑体"/>
                <w:szCs w:val="21"/>
              </w:rPr>
              <w:t>落实措施</w:t>
            </w:r>
          </w:p>
        </w:tc>
        <w:tc>
          <w:tcPr>
            <w:tcW w:w="1815" w:type="dxa"/>
            <w:tcBorders>
              <w:tl2br w:val="nil"/>
              <w:tr2bl w:val="nil"/>
            </w:tcBorders>
            <w:vAlign w:val="center"/>
          </w:tcPr>
          <w:p>
            <w:pPr>
              <w:overflowPunct w:val="0"/>
              <w:autoSpaceDE w:val="0"/>
              <w:adjustRightInd w:val="0"/>
              <w:snapToGrid w:val="0"/>
              <w:jc w:val="center"/>
              <w:rPr>
                <w:rFonts w:ascii="黑体" w:hAnsi="黑体" w:eastAsia="黑体" w:cs="黑体"/>
                <w:szCs w:val="21"/>
              </w:rPr>
            </w:pPr>
            <w:r>
              <w:rPr>
                <w:rFonts w:hint="eastAsia" w:ascii="黑体" w:hAnsi="黑体" w:eastAsia="黑体" w:cs="黑体"/>
                <w:szCs w:val="21"/>
              </w:rPr>
              <w:t>工作目标</w:t>
            </w:r>
          </w:p>
        </w:tc>
        <w:tc>
          <w:tcPr>
            <w:tcW w:w="2385" w:type="dxa"/>
            <w:tcBorders>
              <w:tl2br w:val="nil"/>
              <w:tr2bl w:val="nil"/>
            </w:tcBorders>
            <w:vAlign w:val="center"/>
          </w:tcPr>
          <w:p>
            <w:pPr>
              <w:overflowPunct w:val="0"/>
              <w:autoSpaceDE w:val="0"/>
              <w:adjustRightInd w:val="0"/>
              <w:snapToGrid w:val="0"/>
              <w:jc w:val="center"/>
              <w:rPr>
                <w:rFonts w:ascii="黑体" w:hAnsi="黑体" w:eastAsia="黑体" w:cs="黑体"/>
                <w:szCs w:val="21"/>
              </w:rPr>
            </w:pPr>
            <w:r>
              <w:rPr>
                <w:rFonts w:hint="eastAsia" w:ascii="黑体" w:hAnsi="黑体" w:eastAsia="黑体" w:cs="黑体"/>
                <w:szCs w:val="21"/>
              </w:rPr>
              <w:t>责任单位</w:t>
            </w:r>
          </w:p>
        </w:tc>
        <w:tc>
          <w:tcPr>
            <w:tcW w:w="982" w:type="dxa"/>
            <w:tcBorders>
              <w:tl2br w:val="nil"/>
              <w:tr2bl w:val="nil"/>
            </w:tcBorders>
            <w:vAlign w:val="center"/>
          </w:tcPr>
          <w:p>
            <w:pPr>
              <w:overflowPunct w:val="0"/>
              <w:autoSpaceDE w:val="0"/>
              <w:adjustRightInd w:val="0"/>
              <w:snapToGrid w:val="0"/>
              <w:jc w:val="center"/>
              <w:rPr>
                <w:rFonts w:ascii="黑体" w:hAnsi="黑体" w:eastAsia="黑体" w:cs="黑体"/>
                <w:szCs w:val="21"/>
              </w:rPr>
            </w:pPr>
            <w:r>
              <w:rPr>
                <w:rFonts w:hint="eastAsia" w:ascii="黑体" w:hAnsi="黑体" w:eastAsia="黑体" w:cs="黑体"/>
                <w:szCs w:val="21"/>
              </w:rPr>
              <w:t>完成时限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566" w:hRule="atLeast"/>
          <w:jc w:val="center"/>
        </w:trPr>
        <w:tc>
          <w:tcPr>
            <w:tcW w:w="614" w:type="dxa"/>
            <w:tcBorders>
              <w:tl2br w:val="nil"/>
              <w:tr2bl w:val="nil"/>
            </w:tcBorders>
            <w:vAlign w:val="center"/>
          </w:tcPr>
          <w:p>
            <w:pPr>
              <w:overflowPunct w:val="0"/>
              <w:autoSpaceDE w:val="0"/>
              <w:adjustRightInd w:val="0"/>
              <w:snapToGrid w:val="0"/>
              <w:jc w:val="center"/>
              <w:rPr>
                <w:rFonts w:ascii="楷体_GB2312" w:hAnsi="楷体_GB2312" w:eastAsia="楷体_GB2312" w:cs="楷体_GB2312"/>
                <w:b/>
                <w:bCs/>
                <w:szCs w:val="21"/>
              </w:rPr>
            </w:pPr>
            <w:r>
              <w:rPr>
                <w:rFonts w:hint="eastAsia" w:ascii="楷体_GB2312" w:hAnsi="楷体_GB2312" w:eastAsia="楷体_GB2312" w:cs="楷体_GB2312"/>
                <w:b/>
                <w:bCs/>
                <w:szCs w:val="21"/>
              </w:rPr>
              <w:t>一</w:t>
            </w:r>
          </w:p>
        </w:tc>
        <w:tc>
          <w:tcPr>
            <w:tcW w:w="12082" w:type="dxa"/>
            <w:gridSpan w:val="5"/>
            <w:tcBorders>
              <w:tl2br w:val="nil"/>
              <w:tr2bl w:val="nil"/>
            </w:tcBorders>
            <w:vAlign w:val="center"/>
          </w:tcPr>
          <w:p>
            <w:pPr>
              <w:overflowPunct w:val="0"/>
              <w:autoSpaceDE w:val="0"/>
              <w:adjustRightInd w:val="0"/>
              <w:snapToGrid w:val="0"/>
              <w:jc w:val="left"/>
              <w:rPr>
                <w:rFonts w:ascii="楷体_GB2312" w:hAnsi="楷体_GB2312" w:eastAsia="楷体_GB2312" w:cs="楷体_GB2312"/>
                <w:b/>
                <w:bCs/>
                <w:szCs w:val="21"/>
              </w:rPr>
            </w:pPr>
            <w:r>
              <w:rPr>
                <w:rFonts w:hint="eastAsia" w:ascii="楷体_GB2312" w:hAnsi="楷体_GB2312" w:eastAsia="楷体_GB2312" w:cs="楷体_GB2312"/>
                <w:b/>
                <w:bCs/>
                <w:szCs w:val="21"/>
              </w:rPr>
              <w:t>全力推进审批制度改革，再造更加便捷高效的审批流程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718"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制定投资建设项目审批事项、中介服务事项、技术审查事项“三个清单”</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1.深化投资领域各项政策文件“立改废”工作；2.将投资建设项目全生命周期分为立项、用地规划建设许可、施工许可、竣工验收四个阶段；3.各牵头部门按照“4级46同”要求，建立全</w:t>
            </w:r>
            <w:r>
              <w:rPr>
                <w:rFonts w:hint="eastAsia" w:ascii="宋体" w:hAnsi="宋体" w:eastAsia="宋体" w:cs="宋体"/>
                <w:szCs w:val="21"/>
                <w:lang w:val="en-US" w:eastAsia="zh-CN"/>
              </w:rPr>
              <w:t>县</w:t>
            </w:r>
            <w:r>
              <w:rPr>
                <w:rFonts w:hint="eastAsia" w:ascii="宋体" w:hAnsi="宋体" w:eastAsia="宋体" w:cs="宋体"/>
                <w:szCs w:val="21"/>
              </w:rPr>
              <w:t>统一的“三个清单”，重新编制服务指南。</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保留的各类审批事项严格符合“4级46同”和“六减”相关要求</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县发改局、县自然资源局、县住建局、县政务服务中心，各乡镇人民政府。以下任务均需各乡镇人民政府负责落实，不再列出。</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2022年3月底前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346"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2</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推行“不见面审批”</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除涉密项目外，所有审批事项通过甘肃政务服务网前端统一进行申报，项目单位不再提交纸质申报材料。项目审批后，办理结果直接上传审批平台，由项目单位自行打印。</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进一步方便项目业主</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县发改局，县自然资源局、县住建局、县政务服务中心</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318"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3</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落实</w:t>
            </w:r>
            <w:r>
              <w:rPr>
                <w:rFonts w:ascii="宋体" w:hAnsi="宋体" w:eastAsia="宋体" w:cs="宋体"/>
                <w:szCs w:val="21"/>
              </w:rPr>
              <w:t>即时受理</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各单位审批事项全部向县政务服务中心派驻窗口集中，并向窗口人员充分授权。窗口网上接件后，对符合“三个清单”要求的事项当场做出审批。</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90%以上的项目即时办理</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县政务服务中心，县直涉及项目审批的部门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417"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4</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推行备案项目“秒批秒办”</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企业通过甘肃政务服务网前端申报备案类项目并作出信用承诺后，在线平台系统自动识别，对符合条件的项目自动赋码、自动批复，企业可当即下载打印备案证；2.完善事后监管纠错机制；3.项目自动备案后开始计时，3个工作日内辅导生成项目需要办理前期手续“一张清单”；4.强化在线监管；5.在县政务服务中心设立投资项目自助服务区，配备智能服务终端，配齐帮办代办人员，为企业“自助办”提供便利。</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99%以上的企业投资项目审批“秒批秒办”。一般项目开工前审批时间为50天，有特殊要求的项目最多不得超过90天。</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县发改局，县政务服务中心</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705"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5</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简化特定政府投资项目审批事项</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对列入县级以上发展规划、专项规划和区域规划范围的政府投资项目，不再审批项目建议书；2.对改扩建项目和建设内容单一、投资规模较小、技术方案简单的项目，直接审批初步设计及概算或实施方案；3.为应对自然灾害、事故灾难、公共卫生事件、社会安全事件等突发事件，需要紧急建设的政府投资项目，可以通过建立绿色通道、部门集中会商等方式，将项目建议书、可行性研究报告、初步设计及概算合并为可行性研究报告（代初步设计）进行审批。</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特定政府投资项目审批更加便捷</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970"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6</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企业投资项目承诺制改革</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四阶段牵头部门要全面梳理本阶段不能开展“容缺受理”“信用承诺”“企业自主验收”等事项，制定统一的“承诺制改革”负面清单。对负面清单之外的事项，逐项梳理明确列为“容缺受理”“信用承诺制”等类型。列为容缺受理事项的，企业承诺后不影响开工手续办理，相关承诺事项同步进行审批。列为信用承诺制事项的，企业承诺后直接予以批复；2.供水、排水、供电、燃气、热力、广播电视、通信等市政公用基础设施报装事项办理全部纳入工改系统；3.对负面清单外的审批事项，明确标准，制定相关制式表单。</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各类前期手续实行“容缺审批”“信用承诺制审批”占比达到50%以上</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lang w:eastAsia="zh-CN"/>
              </w:rPr>
              <w:t>县</w:t>
            </w:r>
            <w:r>
              <w:rPr>
                <w:rFonts w:hint="eastAsia" w:ascii="宋体" w:hAnsi="宋体" w:eastAsia="宋体" w:cs="宋体"/>
                <w:szCs w:val="21"/>
              </w:rPr>
              <w:t>发改</w:t>
            </w:r>
            <w:r>
              <w:rPr>
                <w:rFonts w:hint="eastAsia" w:ascii="宋体" w:hAnsi="宋体" w:eastAsia="宋体" w:cs="宋体"/>
                <w:szCs w:val="21"/>
                <w:lang w:eastAsia="zh-CN"/>
              </w:rPr>
              <w:t>局</w:t>
            </w:r>
            <w:r>
              <w:rPr>
                <w:rFonts w:hint="eastAsia" w:ascii="宋体" w:hAnsi="宋体" w:eastAsia="宋体" w:cs="宋体"/>
                <w:szCs w:val="21"/>
              </w:rPr>
              <w:t>，</w:t>
            </w:r>
            <w:r>
              <w:rPr>
                <w:rFonts w:hint="eastAsia" w:ascii="宋体" w:hAnsi="宋体" w:eastAsia="宋体" w:cs="宋体"/>
                <w:szCs w:val="21"/>
                <w:lang w:eastAsia="zh-CN"/>
              </w:rPr>
              <w:t>县</w:t>
            </w:r>
            <w:r>
              <w:rPr>
                <w:rFonts w:hint="eastAsia" w:ascii="宋体" w:hAnsi="宋体" w:eastAsia="宋体" w:cs="宋体"/>
                <w:szCs w:val="21"/>
              </w:rPr>
              <w:t>自然资源局、</w:t>
            </w:r>
            <w:r>
              <w:rPr>
                <w:rFonts w:hint="eastAsia" w:ascii="宋体" w:hAnsi="宋体" w:eastAsia="宋体" w:cs="宋体"/>
                <w:szCs w:val="21"/>
                <w:lang w:val="en-US" w:eastAsia="zh-CN"/>
              </w:rPr>
              <w:t>县</w:t>
            </w:r>
            <w:r>
              <w:rPr>
                <w:rFonts w:hint="eastAsia" w:ascii="宋体" w:hAnsi="宋体" w:eastAsia="宋体" w:cs="宋体"/>
                <w:szCs w:val="21"/>
              </w:rPr>
              <w:t>住建局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861"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7</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“区域化评估评审”和“标准地”改革</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1.扩展区域化评估评审事项范围；2.评估成果集成于工改系统和在线平台；3.积极</w:t>
            </w:r>
            <w:r>
              <w:rPr>
                <w:rFonts w:hint="eastAsia" w:ascii="宋体" w:hAnsi="宋体" w:eastAsia="宋体" w:cs="宋体"/>
                <w:szCs w:val="21"/>
                <w:lang w:val="en-US" w:eastAsia="zh-CN"/>
              </w:rPr>
              <w:t>推进开展“标准地”出让改革</w:t>
            </w:r>
            <w:r>
              <w:rPr>
                <w:rFonts w:hint="eastAsia" w:ascii="宋体" w:hAnsi="宋体" w:eastAsia="宋体" w:cs="宋体"/>
                <w:szCs w:val="21"/>
              </w:rPr>
              <w:t>；4.依托在线平台“标准地超市”</w:t>
            </w:r>
            <w:r>
              <w:rPr>
                <w:rFonts w:hint="eastAsia" w:ascii="宋体" w:hAnsi="宋体" w:eastAsia="宋体" w:cs="宋体"/>
                <w:szCs w:val="21"/>
                <w:lang w:val="en-US" w:eastAsia="zh-CN"/>
              </w:rPr>
              <w:t>模块</w:t>
            </w:r>
            <w:r>
              <w:rPr>
                <w:rFonts w:hint="eastAsia" w:ascii="宋体" w:hAnsi="宋体" w:eastAsia="宋体" w:cs="宋体"/>
                <w:szCs w:val="21"/>
              </w:rPr>
              <w:t>，优化“标准地”出让服务流程，提升服务质效。</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各类特殊功能区发展更具活力</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县发改局、县自然资源局、县工信局、生态环境局、县交运局、县水务局、县文旅局、县工业集中区、县地震局、县气象局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3110"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8</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联合评审、联合测绘、联合验收</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探索开展以分类审查方式进行施工图审查。对特殊工程（范围参照《中华人民共和国消防法》和《建设工程消防设计审查验收管理规定》）仍然按原制度在施工许可前审查；对低风险工程（指建筑规模小、风险低的工程）免予审查；其余工程改为施工许可后，基础施工前完成审查；2.竣工验收合格且属于房屋和市政基础设施的项目，可直接办理竣工验收备案手续，并将相关信息推送至不动产登记部门；3.探索小型低风险项目的土地规划许可与工程规划许可合并办理；4.由各涉及项目审批相关部门自主决定列为企业自助验收事项或联合验收事项。</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对负面清单之外的验收事项，全部列入企业自助验收事项或联合验收事项。</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县住建局、县自然资源局、县发改局、县交运局、县水务局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614" w:type="dxa"/>
            <w:tcBorders>
              <w:tl2br w:val="nil"/>
              <w:tr2bl w:val="nil"/>
            </w:tcBorders>
            <w:vAlign w:val="center"/>
          </w:tcPr>
          <w:p>
            <w:pPr>
              <w:overflowPunct w:val="0"/>
              <w:autoSpaceDE w:val="0"/>
              <w:adjustRightInd w:val="0"/>
              <w:snapToGrid w:val="0"/>
              <w:jc w:val="center"/>
              <w:rPr>
                <w:rFonts w:ascii="楷体_GB2312" w:hAnsi="楷体_GB2312" w:eastAsia="楷体_GB2312" w:cs="楷体_GB2312"/>
                <w:b/>
                <w:bCs/>
                <w:szCs w:val="21"/>
              </w:rPr>
            </w:pPr>
            <w:r>
              <w:rPr>
                <w:rFonts w:hint="eastAsia" w:ascii="楷体_GB2312" w:hAnsi="楷体_GB2312" w:eastAsia="楷体_GB2312" w:cs="楷体_GB2312"/>
                <w:b/>
                <w:bCs/>
                <w:szCs w:val="21"/>
              </w:rPr>
              <w:t>二</w:t>
            </w:r>
          </w:p>
        </w:tc>
        <w:tc>
          <w:tcPr>
            <w:tcW w:w="12082" w:type="dxa"/>
            <w:gridSpan w:val="5"/>
            <w:tcBorders>
              <w:tl2br w:val="nil"/>
              <w:tr2bl w:val="nil"/>
            </w:tcBorders>
            <w:vAlign w:val="center"/>
          </w:tcPr>
          <w:p>
            <w:pPr>
              <w:overflowPunct w:val="0"/>
              <w:autoSpaceDE w:val="0"/>
              <w:adjustRightInd w:val="0"/>
              <w:snapToGrid w:val="0"/>
              <w:rPr>
                <w:rFonts w:ascii="楷体_GB2312" w:hAnsi="楷体_GB2312" w:eastAsia="楷体_GB2312" w:cs="楷体_GB2312"/>
                <w:b/>
                <w:bCs/>
                <w:szCs w:val="21"/>
              </w:rPr>
            </w:pPr>
            <w:r>
              <w:rPr>
                <w:rFonts w:hint="eastAsia" w:ascii="楷体_GB2312" w:hAnsi="楷体_GB2312" w:eastAsia="楷体_GB2312" w:cs="楷体_GB2312"/>
                <w:b/>
                <w:bCs/>
                <w:szCs w:val="21"/>
              </w:rPr>
              <w:t>全面优化项目前期服务，变“企业办”为“政府办”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518"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9</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政府提前完成土地出让前相关手续</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开展审批事项“帮办代办”。1.对纳入年度计划的建设用地在供地前，由县政府先期统一完成工程建设涉及的城市绿地林地、市政基础设施、农业排灌设施等移除工作；2.通过在线平台“招商引资用地超市”，实时对外发布供地计划和设计要点。</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县政府拿出纳入年度用地计划10%以上土地试行“政府办”，企业备案类项目需自主办理前期手续压缩50%以上</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县自然资源局，生态环境局、县交运局、县水务局、县文旅局、县地震局、县气象局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844"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9</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政府提前完成土地出让前相关手续</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试行“用地清单制”。在土地出让前，由县自然资源局普查土地现状，发改、生态环境、水务、地震等行业主管部门提出项目评估关键指标要素。各相关行政主管部门或市政公用服务单位依据土地普查现状和评估评价指标，分别提出技术设计要点，由自然资源部门汇总形成清单，一并发放给土地受让单位，土地受让单位根据清单开展工程方案设计。</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县政府拿出纳入年度用地计划20%以上土地试行“用地清单制”</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县自然资源局、县发改局、生态环境局、县水务局、县地震局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600" w:hRule="atLeast"/>
          <w:jc w:val="center"/>
        </w:trPr>
        <w:tc>
          <w:tcPr>
            <w:tcW w:w="614" w:type="dxa"/>
            <w:vMerge w:val="restart"/>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10</w:t>
            </w:r>
          </w:p>
        </w:tc>
        <w:tc>
          <w:tcPr>
            <w:tcW w:w="1200" w:type="dxa"/>
            <w:vMerge w:val="restart"/>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强化项目前期服务</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加快推进国土空间规划与各类专项规划编制，将各种规划建设要求叠合集成展现在“多规合一”的“一张蓝图”，通过“一张蓝图”一次性明确项目建设管控要求、技术要点、审批流程、事项清单及材料清单等要素，加速项目前期策划生成，为加快项目后续审批创造条件。</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企业投资备案类新开工项目、工程审批类项目开展策划生产占比30%以上</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县自然资源局、县住建局，县直涉及项目审批的部门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661"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依托工改系统主动开展项目前期辅导，精准识别项目审批服务部门，持续提升线上线下统一窗口咨询服务水平，3个工作日内生成“私人订制”审批服务清单，清晰展示各事项前后置关系、审批流程、办事指南、申请材料清单等信息。在县政务服务中心整合设立“投资建设项目审批服务”窗口。</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所有新开工项目全部开展前期辅导</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县住建局、县发改局，县直涉及项目审批的部门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312"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建立“1+X”工作机制，1为四个审批环节牵头部门，X为特殊情况涉及部门，在项目审批时遇到特殊情况时，相关部门将需要协调的事项按阶段提交牵头部门协调解决。机制启动时暂停审批计时。</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县政务服务中心普遍建立“1+X”工作机制</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县发改局、县自然资源局、县住建局</w:t>
            </w:r>
            <w:r>
              <w:rPr>
                <w:rFonts w:hint="eastAsia" w:ascii="宋体" w:hAnsi="宋体" w:eastAsia="宋体" w:cs="宋体"/>
                <w:szCs w:val="21"/>
                <w:lang w:eastAsia="zh-CN"/>
              </w:rPr>
              <w:t>、</w:t>
            </w:r>
            <w:r>
              <w:rPr>
                <w:rFonts w:hint="eastAsia" w:ascii="宋体" w:hAnsi="宋体" w:eastAsia="宋体" w:cs="宋体"/>
                <w:szCs w:val="21"/>
              </w:rPr>
              <w:t>县政务服务中心，县直涉及项目审批的部门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2022年3月底前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595"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11</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“不动产登记+市政公用服务”联动办理</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群众申请办理二手房过户登记时，可同步提交水、电、气、暖、有线电视、有线宽带过户申请。登记业务办结后，系统自动将过户信息推送至水、电、气、暖、有线电视、有线宽带管理部门，相关管理部门依据信息，对申请人过户申请及时办理。</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打造线上线下相融合的“不动产登记+市政公用服务”联动办理新模式</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县自然资源局、县住建局、县政务服务中心、</w:t>
            </w:r>
            <w:r>
              <w:rPr>
                <w:rFonts w:hint="eastAsia" w:ascii="宋体" w:hAnsi="宋体" w:eastAsia="宋体" w:cs="宋体"/>
                <w:szCs w:val="21"/>
                <w:lang w:eastAsia="zh-CN"/>
              </w:rPr>
              <w:t>县工信局、县公用局、县</w:t>
            </w:r>
            <w:r>
              <w:rPr>
                <w:rFonts w:hint="eastAsia" w:ascii="宋体" w:hAnsi="宋体" w:eastAsia="宋体" w:cs="宋体"/>
                <w:szCs w:val="21"/>
              </w:rPr>
              <w:t>供电公司</w:t>
            </w:r>
            <w:r>
              <w:rPr>
                <w:rFonts w:hint="eastAsia" w:ascii="宋体" w:hAnsi="宋体" w:eastAsia="宋体" w:cs="宋体"/>
                <w:szCs w:val="21"/>
                <w:lang w:eastAsia="zh-CN"/>
              </w:rPr>
              <w:t>、县水投公司</w:t>
            </w:r>
            <w:r>
              <w:rPr>
                <w:rFonts w:hint="eastAsia" w:ascii="宋体" w:hAnsi="宋体" w:eastAsia="宋体" w:cs="宋体"/>
                <w:szCs w:val="21"/>
              </w:rPr>
              <w:t>及相关涉及企业</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359"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12</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实行投资建设项目审批“一费制”清单管理</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在县政务服务中心设立投资建设项目审批“一费制”综合窗口，依据《甘肃省涉企行政事业性收费项目目录清单》对项目竣工前涉及的行政事业性收费事项、依据、标准进行统一公示，对未公示的收费事项，企业可拒绝缴纳相关费用。</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项目竣工前涉及收费事项100%纳入“一费制清单”</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县政务服务中心、县财政局、县发改局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2022年3月底前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614" w:type="dxa"/>
            <w:tcBorders>
              <w:tl2br w:val="nil"/>
              <w:tr2bl w:val="nil"/>
            </w:tcBorders>
            <w:vAlign w:val="center"/>
          </w:tcPr>
          <w:p>
            <w:pPr>
              <w:overflowPunct w:val="0"/>
              <w:autoSpaceDE w:val="0"/>
              <w:adjustRightInd w:val="0"/>
              <w:snapToGrid w:val="0"/>
              <w:jc w:val="center"/>
              <w:rPr>
                <w:rFonts w:ascii="楷体_GB2312" w:hAnsi="楷体_GB2312" w:eastAsia="楷体_GB2312" w:cs="楷体_GB2312"/>
                <w:b/>
                <w:bCs/>
                <w:szCs w:val="21"/>
              </w:rPr>
            </w:pPr>
            <w:r>
              <w:rPr>
                <w:rFonts w:hint="eastAsia" w:ascii="楷体_GB2312" w:hAnsi="楷体_GB2312" w:eastAsia="楷体_GB2312" w:cs="楷体_GB2312"/>
                <w:b/>
                <w:bCs/>
                <w:szCs w:val="21"/>
              </w:rPr>
              <w:t>三</w:t>
            </w:r>
          </w:p>
        </w:tc>
        <w:tc>
          <w:tcPr>
            <w:tcW w:w="12082" w:type="dxa"/>
            <w:gridSpan w:val="5"/>
            <w:tcBorders>
              <w:tl2br w:val="nil"/>
              <w:tr2bl w:val="nil"/>
            </w:tcBorders>
            <w:vAlign w:val="center"/>
          </w:tcPr>
          <w:p>
            <w:pPr>
              <w:overflowPunct w:val="0"/>
              <w:autoSpaceDE w:val="0"/>
              <w:adjustRightInd w:val="0"/>
              <w:snapToGrid w:val="0"/>
              <w:rPr>
                <w:rFonts w:ascii="楷体_GB2312" w:hAnsi="楷体_GB2312" w:eastAsia="楷体_GB2312" w:cs="楷体_GB2312"/>
                <w:b/>
                <w:bCs/>
                <w:szCs w:val="21"/>
              </w:rPr>
            </w:pPr>
            <w:r>
              <w:rPr>
                <w:rFonts w:hint="eastAsia" w:ascii="楷体_GB2312" w:hAnsi="楷体_GB2312" w:eastAsia="楷体_GB2312" w:cs="楷体_GB2312"/>
                <w:b/>
                <w:bCs/>
                <w:szCs w:val="21"/>
              </w:rPr>
              <w:t>加快数字政府建设，实现全要素数据资源共享</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548"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13</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加快数据共享</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1.推动在线平台、工改系统及自然资源、生态环境、交通运输、水务、公共资源交易等部门审批系统互联共享；2.梳理出我县投资审批服务热点、堵点、痛点问题，督促做好整改。</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投资建设项目事项数据共享共用</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县发改局、县住建局、县自然资源局、生态环境局、县交运局、县水务局、县政务服务中心、</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769"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14</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强化要素数据归集</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主动配合省</w:t>
            </w:r>
            <w:r>
              <w:rPr>
                <w:rFonts w:hint="eastAsia" w:ascii="宋体" w:hAnsi="宋体" w:eastAsia="宋体" w:cs="宋体"/>
                <w:szCs w:val="21"/>
                <w:lang w:eastAsia="zh-CN"/>
              </w:rPr>
              <w:t>、</w:t>
            </w:r>
            <w:r>
              <w:rPr>
                <w:rFonts w:hint="eastAsia" w:ascii="宋体" w:hAnsi="宋体" w:eastAsia="宋体" w:cs="宋体"/>
                <w:szCs w:val="21"/>
              </w:rPr>
              <w:t>市宏观经济数据库建设，采集投资、消费、出口等方面数据，实现省</w:t>
            </w:r>
            <w:r>
              <w:rPr>
                <w:rFonts w:hint="eastAsia" w:ascii="宋体" w:hAnsi="宋体" w:eastAsia="宋体" w:cs="宋体"/>
                <w:szCs w:val="21"/>
                <w:lang w:eastAsia="zh-CN"/>
              </w:rPr>
              <w:t>、</w:t>
            </w:r>
            <w:r>
              <w:rPr>
                <w:rFonts w:hint="eastAsia" w:ascii="宋体" w:hAnsi="宋体" w:eastAsia="宋体" w:cs="宋体"/>
                <w:szCs w:val="21"/>
              </w:rPr>
              <w:t>市</w:t>
            </w:r>
            <w:r>
              <w:rPr>
                <w:rFonts w:hint="eastAsia" w:ascii="宋体" w:hAnsi="宋体" w:eastAsia="宋体" w:cs="宋体"/>
                <w:szCs w:val="21"/>
                <w:lang w:eastAsia="zh-CN"/>
              </w:rPr>
              <w:t>、</w:t>
            </w:r>
            <w:r>
              <w:rPr>
                <w:rFonts w:hint="eastAsia" w:ascii="宋体" w:hAnsi="宋体" w:eastAsia="宋体" w:cs="宋体"/>
                <w:szCs w:val="21"/>
              </w:rPr>
              <w:t>县数据信息互联互通和信息共享。</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精准服务项目建设</w:t>
            </w:r>
          </w:p>
        </w:tc>
        <w:tc>
          <w:tcPr>
            <w:tcW w:w="2385" w:type="dxa"/>
            <w:tcBorders>
              <w:tl2br w:val="nil"/>
              <w:tr2bl w:val="nil"/>
            </w:tcBorders>
            <w:vAlign w:val="center"/>
          </w:tcPr>
          <w:p>
            <w:pPr>
              <w:overflowPunct w:val="0"/>
              <w:autoSpaceDE w:val="0"/>
              <w:adjustRightInd w:val="0"/>
              <w:snapToGrid w:val="0"/>
              <w:rPr>
                <w:rFonts w:hint="eastAsia" w:ascii="宋体" w:hAnsi="宋体" w:eastAsia="宋体" w:cs="宋体"/>
                <w:szCs w:val="21"/>
                <w:lang w:eastAsia="zh-CN"/>
              </w:rPr>
            </w:pPr>
            <w:r>
              <w:rPr>
                <w:rFonts w:hint="eastAsia" w:ascii="宋体" w:hAnsi="宋体" w:eastAsia="宋体" w:cs="宋体"/>
                <w:szCs w:val="21"/>
              </w:rPr>
              <w:t>县发改局、县住建局、县商务局、县市场监管局、县财政局、县水务局、县人社局、县金融办、</w:t>
            </w:r>
            <w:r>
              <w:rPr>
                <w:rFonts w:hint="eastAsia" w:ascii="宋体" w:hAnsi="宋体" w:eastAsia="宋体" w:cs="宋体"/>
                <w:szCs w:val="21"/>
                <w:lang w:val="en-US" w:eastAsia="zh-CN"/>
              </w:rPr>
              <w:t>县</w:t>
            </w:r>
            <w:r>
              <w:rPr>
                <w:rFonts w:hint="eastAsia" w:ascii="宋体" w:hAnsi="宋体" w:eastAsia="宋体" w:cs="宋体"/>
                <w:szCs w:val="21"/>
              </w:rPr>
              <w:t>公共资源交易中心、</w:t>
            </w:r>
            <w:r>
              <w:rPr>
                <w:rFonts w:hint="eastAsia" w:ascii="宋体" w:hAnsi="宋体" w:eastAsia="宋体" w:cs="宋体"/>
                <w:szCs w:val="21"/>
                <w:lang w:eastAsia="zh-CN"/>
              </w:rPr>
              <w:t>县税务局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746"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15</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加强区块链应用</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有效发挥区块链技术优势，利用全省投资建设项目“一网通办”审批服务平台项目集中监管优势，将投资项目的基本信息、赋码信息、批复文件、项目建设异常信息等重要数据建立投资项目信息链，并在相关审批部门、金融服务机构、监督管理机构建立区块链服务节点，结合身份认证、电子签章等技术，依法授权进行信息检索或查询，实现各部门和各层级间政务数据互联互通；2.综合运用在线平台“央企合作直通车模块”“十四五规划项目库模块”“甘肃模块”“中介超市模块”“储备项目库模块”等功能模块，全力推动我县项目建设</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推动项目信息安全可信共享。全景推动企地合作，强化项目协调，加快项目落地</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319" w:hRule="atLeast"/>
          <w:jc w:val="center"/>
        </w:trPr>
        <w:tc>
          <w:tcPr>
            <w:tcW w:w="614" w:type="dxa"/>
            <w:vMerge w:val="restart"/>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16</w:t>
            </w:r>
          </w:p>
        </w:tc>
        <w:tc>
          <w:tcPr>
            <w:tcW w:w="1200" w:type="dxa"/>
            <w:vMerge w:val="restart"/>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优化工改系统</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省级跨层级审批模块，提升跨层级、跨县区、跨部门、跨系统、跨业务的协同管理和服务水平，推动跨层级审批事项全流程在线办理</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提升市场主体政务服务获得感、便利度</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956"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开发数智赋能模块，健全工程建设领域、建筑市场数据要素流通机制，对审批信息、监管过程、异常数据等数字要素全覆盖归集，强化数字辅政决策能力建设。完善工改项目全流程监管功能，全维度实施动态监控项目进度；完善工改项目堵点难点分析功能，分析异常数据，进行风险监测预警与防范。</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实现全周期问题、责任追溯</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714"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开发“一套图纸”管理模块，推行工程建设项目从勘察、设计、施工到竣工验收全过程数字化图纸闭环管理，各有关部门在线使用“一套图纸”，并按照电子档案要求实时归集、动态维护、安全管理。</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电子档案实时归集、动态维护、安全管理</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504"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优化“中介超市”功能，归集工程建设领域中介机构的主体信息、交易行为、监管数据、服务评价等要素，加强中介服务全过程行为、时间、评测管理。</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规范中介服务事项，实现中介服务公开透明</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544"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开发事项库管理模块，建立全县统一的工程建设领域事项目录体系，规范事项基本属性、表单、流程、材料、数据对接、系统对接、办件等要素标准，完善事项关系图谱。</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做到“清单之外无审批”</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964" w:hRule="atLeast"/>
          <w:jc w:val="center"/>
        </w:trPr>
        <w:tc>
          <w:tcPr>
            <w:tcW w:w="614" w:type="dxa"/>
            <w:vMerge w:val="restart"/>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16</w:t>
            </w:r>
          </w:p>
        </w:tc>
        <w:tc>
          <w:tcPr>
            <w:tcW w:w="1200" w:type="dxa"/>
            <w:vMerge w:val="restart"/>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优化工改系统</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开发信用信息管理模块，对工程建设领域的审批、监管、服务、交易信用信息做到全量归集和多源归集，依托信用信息对市场主体精准“画像”。</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为信用监管、事中事后监管、“互联网+监管”提供有效支撑</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1799" w:hRule="atLeast"/>
          <w:jc w:val="center"/>
        </w:trPr>
        <w:tc>
          <w:tcPr>
            <w:tcW w:w="614" w:type="dxa"/>
            <w:vMerge w:val="continue"/>
            <w:tcBorders>
              <w:tl2br w:val="nil"/>
              <w:tr2bl w:val="nil"/>
            </w:tcBorders>
            <w:vAlign w:val="center"/>
          </w:tcPr>
          <w:p>
            <w:pPr>
              <w:overflowPunct w:val="0"/>
              <w:autoSpaceDE w:val="0"/>
              <w:adjustRightInd w:val="0"/>
              <w:snapToGrid w:val="0"/>
              <w:jc w:val="center"/>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完善评价评估模块，建立工程建设领域数字化评价体系，重点突出工作实绩、改革成效、量化数据等引</w:t>
            </w:r>
            <w:r>
              <w:rPr>
                <w:rFonts w:hint="eastAsia" w:ascii="宋体" w:hAnsi="宋体" w:eastAsia="宋体" w:cs="宋体"/>
                <w:szCs w:val="21"/>
                <w:lang w:eastAsia="zh-CN"/>
              </w:rPr>
              <w:t>领</w:t>
            </w:r>
            <w:r>
              <w:rPr>
                <w:rFonts w:hint="eastAsia" w:ascii="宋体" w:hAnsi="宋体" w:eastAsia="宋体" w:cs="宋体"/>
                <w:szCs w:val="21"/>
              </w:rPr>
              <w:t>导向作用，实现评价结果可预期；加强评价结果运用，推动数据回流赋能。</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实现“以评促改”、“以评促优”</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593" w:hRule="atLeast"/>
          <w:jc w:val="center"/>
        </w:trPr>
        <w:tc>
          <w:tcPr>
            <w:tcW w:w="614" w:type="dxa"/>
            <w:tcBorders>
              <w:tl2br w:val="nil"/>
              <w:tr2bl w:val="nil"/>
            </w:tcBorders>
            <w:vAlign w:val="center"/>
          </w:tcPr>
          <w:p>
            <w:pPr>
              <w:overflowPunct w:val="0"/>
              <w:autoSpaceDE w:val="0"/>
              <w:adjustRightInd w:val="0"/>
              <w:snapToGrid w:val="0"/>
              <w:jc w:val="center"/>
              <w:rPr>
                <w:rFonts w:ascii="楷体_GB2312" w:hAnsi="楷体_GB2312" w:eastAsia="楷体_GB2312" w:cs="楷体_GB2312"/>
                <w:b/>
                <w:bCs/>
                <w:szCs w:val="21"/>
              </w:rPr>
            </w:pPr>
            <w:r>
              <w:rPr>
                <w:rFonts w:hint="eastAsia" w:ascii="楷体_GB2312" w:hAnsi="楷体_GB2312" w:eastAsia="楷体_GB2312" w:cs="楷体_GB2312"/>
                <w:b/>
                <w:bCs/>
                <w:szCs w:val="21"/>
              </w:rPr>
              <w:t>四</w:t>
            </w:r>
          </w:p>
        </w:tc>
        <w:tc>
          <w:tcPr>
            <w:tcW w:w="12082" w:type="dxa"/>
            <w:gridSpan w:val="5"/>
            <w:tcBorders>
              <w:tl2br w:val="nil"/>
              <w:tr2bl w:val="nil"/>
            </w:tcBorders>
            <w:vAlign w:val="center"/>
          </w:tcPr>
          <w:p>
            <w:pPr>
              <w:overflowPunct w:val="0"/>
              <w:autoSpaceDE w:val="0"/>
              <w:adjustRightInd w:val="0"/>
              <w:snapToGrid w:val="0"/>
              <w:rPr>
                <w:rFonts w:ascii="楷体_GB2312" w:hAnsi="楷体_GB2312" w:eastAsia="楷体_GB2312" w:cs="楷体_GB2312"/>
                <w:b/>
                <w:bCs/>
                <w:szCs w:val="21"/>
              </w:rPr>
            </w:pPr>
            <w:r>
              <w:rPr>
                <w:rFonts w:hint="eastAsia" w:ascii="楷体_GB2312" w:hAnsi="楷体_GB2312" w:eastAsia="楷体_GB2312" w:cs="楷体_GB2312"/>
                <w:b/>
                <w:bCs/>
                <w:szCs w:val="21"/>
              </w:rPr>
              <w:t>全面实施信用监管，着力构建贯穿项目全生命周期的新型监管机制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3696" w:hRule="atLeast"/>
          <w:jc w:val="center"/>
        </w:trPr>
        <w:tc>
          <w:tcPr>
            <w:tcW w:w="614" w:type="dxa"/>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17</w:t>
            </w:r>
          </w:p>
        </w:tc>
        <w:tc>
          <w:tcPr>
            <w:tcW w:w="12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加强信用信息归集共享</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1.社会信用信息平台要及时归集各级各部门产生的行政许可、行政处罚、失信惩戒名单等信用信息；2.工改系统要及时收集企业资质、竣工验收、注册职业人员等信息，实时共享至省</w:t>
            </w:r>
            <w:r>
              <w:rPr>
                <w:rFonts w:hint="eastAsia" w:ascii="宋体" w:hAnsi="宋体" w:eastAsia="宋体" w:cs="宋体"/>
                <w:szCs w:val="21"/>
                <w:lang w:eastAsia="zh-CN"/>
              </w:rPr>
              <w:t>、市</w:t>
            </w:r>
            <w:r>
              <w:rPr>
                <w:rFonts w:hint="eastAsia" w:ascii="宋体" w:hAnsi="宋体" w:eastAsia="宋体" w:cs="宋体"/>
                <w:szCs w:val="21"/>
              </w:rPr>
              <w:t>社会信用信息平台；3.统筹做好数据上报与回传工作，为全县投资建设领域信用监管提供基础数据支撑。4.对纳入承诺制的审批事项，制定统一格式的信用承诺书；5.企业作出承诺在“信用</w:t>
            </w:r>
            <w:r>
              <w:rPr>
                <w:rFonts w:hint="eastAsia" w:ascii="宋体" w:hAnsi="宋体" w:eastAsia="宋体" w:cs="宋体"/>
                <w:szCs w:val="21"/>
                <w:lang w:val="en-US" w:eastAsia="zh-CN"/>
              </w:rPr>
              <w:t>庄浪</w:t>
            </w:r>
            <w:r>
              <w:rPr>
                <w:rFonts w:hint="eastAsia" w:ascii="宋体" w:hAnsi="宋体" w:eastAsia="宋体" w:cs="宋体"/>
                <w:szCs w:val="21"/>
              </w:rPr>
              <w:t>”及相关部门网站公开；6.企业承诺涉及部门要不定期对投资项目主体的信用承诺进行复核；7.信用承诺书和履约状况计入企业信用记录，共享至</w:t>
            </w:r>
            <w:r>
              <w:rPr>
                <w:rFonts w:hint="eastAsia" w:ascii="宋体" w:hAnsi="宋体" w:eastAsia="宋体" w:cs="宋体"/>
                <w:szCs w:val="21"/>
                <w:lang w:val="en-US" w:eastAsia="zh-CN"/>
              </w:rPr>
              <w:t>县</w:t>
            </w:r>
            <w:r>
              <w:rPr>
                <w:rFonts w:hint="eastAsia" w:ascii="宋体" w:hAnsi="宋体" w:eastAsia="宋体" w:cs="宋体"/>
                <w:szCs w:val="21"/>
              </w:rPr>
              <w:t>社会信用信息平台，作为事中、事后监管的重要依据。</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为全县投资建设领域信用监管提供基础数据支撑。</w:t>
            </w:r>
          </w:p>
        </w:tc>
        <w:tc>
          <w:tcPr>
            <w:tcW w:w="2385" w:type="dxa"/>
            <w:tcBorders>
              <w:tl2br w:val="nil"/>
              <w:tr2bl w:val="nil"/>
            </w:tcBorders>
            <w:vAlign w:val="center"/>
          </w:tcPr>
          <w:p>
            <w:pPr>
              <w:overflowPunct w:val="0"/>
              <w:autoSpaceDE w:val="0"/>
              <w:adjustRightInd w:val="0"/>
              <w:snapToGrid w:val="0"/>
              <w:rPr>
                <w:rFonts w:hint="eastAsia" w:ascii="宋体" w:hAnsi="宋体" w:eastAsia="宋体" w:cs="宋体"/>
                <w:szCs w:val="21"/>
                <w:lang w:eastAsia="zh-CN"/>
              </w:rPr>
            </w:pPr>
            <w:r>
              <w:rPr>
                <w:rFonts w:hint="eastAsia" w:ascii="宋体" w:hAnsi="宋体" w:eastAsia="宋体" w:cs="宋体"/>
                <w:szCs w:val="21"/>
              </w:rPr>
              <w:t>县发改局、县住建局</w:t>
            </w:r>
            <w:r>
              <w:rPr>
                <w:rFonts w:hint="eastAsia" w:ascii="宋体" w:hAnsi="宋体" w:eastAsia="宋体" w:cs="宋体"/>
                <w:szCs w:val="21"/>
                <w:lang w:eastAsia="zh-CN"/>
              </w:rPr>
              <w:t>、县自然资源局</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2022年6月底前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864" w:hRule="atLeast"/>
          <w:jc w:val="center"/>
        </w:trPr>
        <w:tc>
          <w:tcPr>
            <w:tcW w:w="614" w:type="dxa"/>
            <w:vMerge w:val="restart"/>
            <w:tcBorders>
              <w:tl2br w:val="nil"/>
              <w:tr2bl w:val="nil"/>
            </w:tcBorders>
            <w:vAlign w:val="center"/>
          </w:tcPr>
          <w:p>
            <w:pPr>
              <w:overflowPunct w:val="0"/>
              <w:autoSpaceDE w:val="0"/>
              <w:adjustRightInd w:val="0"/>
              <w:snapToGrid w:val="0"/>
              <w:jc w:val="center"/>
              <w:rPr>
                <w:rFonts w:ascii="宋体" w:hAnsi="宋体" w:eastAsia="宋体" w:cs="宋体"/>
                <w:szCs w:val="21"/>
              </w:rPr>
            </w:pPr>
            <w:r>
              <w:rPr>
                <w:rFonts w:hint="eastAsia" w:ascii="宋体" w:hAnsi="宋体" w:eastAsia="宋体" w:cs="宋体"/>
                <w:szCs w:val="21"/>
              </w:rPr>
              <w:t>18</w:t>
            </w:r>
          </w:p>
        </w:tc>
        <w:tc>
          <w:tcPr>
            <w:tcW w:w="1200" w:type="dxa"/>
            <w:vMerge w:val="restart"/>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强化信用监管</w:t>
            </w: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全面实施信用分级分类监管。严格落实《甘肃省信用分级分类管理办法（试行）》和省级相关行业主管信用分级分类监管措施，扎实开展信用评价工作。结合公共信用综合评价情况，对项目主体按照信用等级采取差异化的监管措施，在减轻一般企业负担的同时，切实提升监管效能。</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减轻</w:t>
            </w:r>
            <w:r>
              <w:rPr>
                <w:rFonts w:hint="eastAsia" w:ascii="宋体" w:hAnsi="宋体" w:eastAsia="宋体" w:cs="宋体"/>
                <w:szCs w:val="21"/>
                <w:lang w:eastAsia="zh-CN"/>
              </w:rPr>
              <w:t>一</w:t>
            </w:r>
            <w:r>
              <w:rPr>
                <w:rFonts w:hint="eastAsia" w:ascii="宋体" w:hAnsi="宋体" w:eastAsia="宋体" w:cs="宋体"/>
                <w:szCs w:val="21"/>
              </w:rPr>
              <w:t>般企业负担，切实提升监管效能</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县发改局、县市场监管局，县直涉及项目审批的部门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2022年3月底</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3036" w:hRule="atLeast"/>
          <w:jc w:val="center"/>
        </w:trPr>
        <w:tc>
          <w:tcPr>
            <w:tcW w:w="614" w:type="dxa"/>
            <w:vMerge w:val="continue"/>
            <w:tcBorders>
              <w:tl2br w:val="nil"/>
              <w:tr2bl w:val="nil"/>
            </w:tcBorders>
          </w:tcPr>
          <w:p>
            <w:pPr>
              <w:overflowPunct w:val="0"/>
              <w:autoSpaceDE w:val="0"/>
              <w:adjustRightInd w:val="0"/>
              <w:snapToGrid w:val="0"/>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积极推进以信用为基础的新型投资项目监管机制。加强项目管理领域的信用核查，依托省、市社会信用信息平台，运用大数据技术，开展联合奖惩。探索将项目代码、项目主体统一社会信用代码合成一个二维码，作为项目全生命周期统一身份标识，实现“扫码亮证”，加快推进二维码应用场景，便利实时核验项目基本信息、审批信息和建设信息等。</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强化信用信息在投资项目审批事中、事后监管中的应用</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县发改局、县住建局，县直涉及项目审批的部门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2022年3月底</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1" w:type="dxa"/>
            <w:bottom w:w="0" w:type="dxa"/>
            <w:right w:w="51" w:type="dxa"/>
          </w:tblCellMar>
        </w:tblPrEx>
        <w:trPr>
          <w:trHeight w:val="2149" w:hRule="atLeast"/>
          <w:jc w:val="center"/>
        </w:trPr>
        <w:tc>
          <w:tcPr>
            <w:tcW w:w="614" w:type="dxa"/>
            <w:vMerge w:val="continue"/>
            <w:tcBorders>
              <w:tl2br w:val="nil"/>
              <w:tr2bl w:val="nil"/>
            </w:tcBorders>
          </w:tcPr>
          <w:p>
            <w:pPr>
              <w:overflowPunct w:val="0"/>
              <w:autoSpaceDE w:val="0"/>
              <w:adjustRightInd w:val="0"/>
              <w:snapToGrid w:val="0"/>
              <w:rPr>
                <w:rFonts w:ascii="宋体" w:hAnsi="宋体" w:eastAsia="宋体" w:cs="宋体"/>
                <w:szCs w:val="21"/>
              </w:rPr>
            </w:pPr>
          </w:p>
        </w:tc>
        <w:tc>
          <w:tcPr>
            <w:tcW w:w="1200" w:type="dxa"/>
            <w:vMerge w:val="continue"/>
            <w:tcBorders>
              <w:tl2br w:val="nil"/>
              <w:tr2bl w:val="nil"/>
            </w:tcBorders>
            <w:vAlign w:val="center"/>
          </w:tcPr>
          <w:p>
            <w:pPr>
              <w:overflowPunct w:val="0"/>
              <w:autoSpaceDE w:val="0"/>
              <w:adjustRightInd w:val="0"/>
              <w:snapToGrid w:val="0"/>
              <w:rPr>
                <w:rFonts w:ascii="宋体" w:hAnsi="宋体" w:eastAsia="宋体" w:cs="宋体"/>
                <w:szCs w:val="21"/>
              </w:rPr>
            </w:pPr>
          </w:p>
        </w:tc>
        <w:tc>
          <w:tcPr>
            <w:tcW w:w="5700"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健全完善信用修复机制，《按照甘肃省信用修复和异议处理办法（试行）》，失信投资建设项目主体在纠正失信行为、消除不良影响后，均可申请信用修复。及时更新信用修复和异议处理信息，限时办结符合条件的信用修复和异议申请，切实保障项目主体合法权益。</w:t>
            </w:r>
          </w:p>
        </w:tc>
        <w:tc>
          <w:tcPr>
            <w:tcW w:w="181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切实保障项目主体合法权益</w:t>
            </w:r>
          </w:p>
        </w:tc>
        <w:tc>
          <w:tcPr>
            <w:tcW w:w="2385"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县发改</w:t>
            </w:r>
            <w:r>
              <w:rPr>
                <w:rFonts w:hint="eastAsia" w:ascii="宋体" w:hAnsi="宋体" w:eastAsia="宋体" w:cs="宋体"/>
                <w:szCs w:val="21"/>
                <w:lang w:eastAsia="zh-CN"/>
              </w:rPr>
              <w:t>局</w:t>
            </w:r>
            <w:r>
              <w:rPr>
                <w:rFonts w:hint="eastAsia" w:ascii="宋体" w:hAnsi="宋体" w:eastAsia="宋体" w:cs="宋体"/>
                <w:szCs w:val="21"/>
              </w:rPr>
              <w:t>、县住建局，县直涉及项目审批的部门</w:t>
            </w:r>
          </w:p>
        </w:tc>
        <w:tc>
          <w:tcPr>
            <w:tcW w:w="982" w:type="dxa"/>
            <w:tcBorders>
              <w:tl2br w:val="nil"/>
              <w:tr2bl w:val="nil"/>
            </w:tcBorders>
            <w:vAlign w:val="center"/>
          </w:tcPr>
          <w:p>
            <w:pPr>
              <w:overflowPunct w:val="0"/>
              <w:autoSpaceDE w:val="0"/>
              <w:adjustRightInd w:val="0"/>
              <w:snapToGrid w:val="0"/>
              <w:rPr>
                <w:rFonts w:ascii="宋体" w:hAnsi="宋体" w:eastAsia="宋体" w:cs="宋体"/>
                <w:szCs w:val="21"/>
              </w:rPr>
            </w:pPr>
            <w:r>
              <w:rPr>
                <w:rFonts w:hint="eastAsia" w:ascii="宋体" w:hAnsi="宋体" w:eastAsia="宋体" w:cs="宋体"/>
                <w:szCs w:val="21"/>
              </w:rPr>
              <w:t>2022年3月底</w:t>
            </w:r>
          </w:p>
        </w:tc>
      </w:tr>
    </w:tbl>
    <w:p>
      <w:pPr>
        <w:overflowPunct w:val="0"/>
        <w:autoSpaceDE w:val="0"/>
        <w:spacing w:line="20" w:lineRule="exact"/>
        <w:jc w:val="left"/>
        <w:rPr>
          <w:rFonts w:ascii="仿宋_GB2312" w:hAnsi="Times New Roman" w:eastAsia="仿宋_GB2312" w:cs="Times New Roman"/>
          <w:sz w:val="24"/>
          <w:szCs w:val="24"/>
        </w:rPr>
      </w:pPr>
    </w:p>
    <w:sectPr>
      <w:footerReference r:id="rId3" w:type="default"/>
      <w:pgSz w:w="16838" w:h="11906" w:orient="landscape"/>
      <w:pgMar w:top="1531" w:right="1984" w:bottom="1531" w:left="209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44450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3.5pt;height:144pt;width:144pt;mso-position-horizontal:outside;mso-position-horizontal-relative:margin;mso-wrap-style:none;z-index:251659264;mso-width-relative:page;mso-height-relative:page;" filled="f" stroked="f" coordsize="21600,21600" o:gfxdata="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hlAF0QAAAAYBAAAPAAAAAAAAAAEAIAAAACIAAABkcnMvZG93bnJl&#10;di54bWxQSwECFAAUAAAACACHTuJASVjX3ssBAACcAwAADgAAAAAAAAABACAAAAAgAQAAZHJzL2Uy&#10;b0RvYy54bWxQSwUGAAAAAAYABgBZAQAAXQ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5F"/>
    <w:rsid w:val="00044C9C"/>
    <w:rsid w:val="00086E08"/>
    <w:rsid w:val="00087480"/>
    <w:rsid w:val="000912A6"/>
    <w:rsid w:val="00092AE4"/>
    <w:rsid w:val="000E370E"/>
    <w:rsid w:val="000E4F2B"/>
    <w:rsid w:val="0012326E"/>
    <w:rsid w:val="00141B51"/>
    <w:rsid w:val="00185440"/>
    <w:rsid w:val="001A6518"/>
    <w:rsid w:val="001E4AB6"/>
    <w:rsid w:val="001E6D1B"/>
    <w:rsid w:val="001F11FC"/>
    <w:rsid w:val="001F4372"/>
    <w:rsid w:val="001F7FD9"/>
    <w:rsid w:val="00202083"/>
    <w:rsid w:val="0021068D"/>
    <w:rsid w:val="00210D1A"/>
    <w:rsid w:val="002471D7"/>
    <w:rsid w:val="00266FBB"/>
    <w:rsid w:val="002803F5"/>
    <w:rsid w:val="002834E7"/>
    <w:rsid w:val="002A048D"/>
    <w:rsid w:val="002A6A37"/>
    <w:rsid w:val="002C2EB6"/>
    <w:rsid w:val="002D2F40"/>
    <w:rsid w:val="002E7935"/>
    <w:rsid w:val="0030545B"/>
    <w:rsid w:val="00325907"/>
    <w:rsid w:val="00345F8F"/>
    <w:rsid w:val="00361FA9"/>
    <w:rsid w:val="00363CE1"/>
    <w:rsid w:val="00363D5A"/>
    <w:rsid w:val="003709F6"/>
    <w:rsid w:val="0038340D"/>
    <w:rsid w:val="0039108E"/>
    <w:rsid w:val="003A1C53"/>
    <w:rsid w:val="003A2211"/>
    <w:rsid w:val="003A4C2F"/>
    <w:rsid w:val="003A7346"/>
    <w:rsid w:val="003A7E81"/>
    <w:rsid w:val="003C30CA"/>
    <w:rsid w:val="003E18EE"/>
    <w:rsid w:val="00406B61"/>
    <w:rsid w:val="00411675"/>
    <w:rsid w:val="00411A2E"/>
    <w:rsid w:val="004139E1"/>
    <w:rsid w:val="004462C7"/>
    <w:rsid w:val="00451AC8"/>
    <w:rsid w:val="00452F08"/>
    <w:rsid w:val="0045542B"/>
    <w:rsid w:val="004556BA"/>
    <w:rsid w:val="00464A7D"/>
    <w:rsid w:val="00556B51"/>
    <w:rsid w:val="00561CCD"/>
    <w:rsid w:val="0056600F"/>
    <w:rsid w:val="00591127"/>
    <w:rsid w:val="00592BA3"/>
    <w:rsid w:val="00593338"/>
    <w:rsid w:val="00593372"/>
    <w:rsid w:val="005935E5"/>
    <w:rsid w:val="005D507E"/>
    <w:rsid w:val="005E1FE6"/>
    <w:rsid w:val="005E2E53"/>
    <w:rsid w:val="005F67B7"/>
    <w:rsid w:val="006141B8"/>
    <w:rsid w:val="0061546A"/>
    <w:rsid w:val="00622540"/>
    <w:rsid w:val="00625F16"/>
    <w:rsid w:val="00630003"/>
    <w:rsid w:val="006651C2"/>
    <w:rsid w:val="006804DF"/>
    <w:rsid w:val="00693FAE"/>
    <w:rsid w:val="006C420E"/>
    <w:rsid w:val="006C46B1"/>
    <w:rsid w:val="006D5CC0"/>
    <w:rsid w:val="006E61B5"/>
    <w:rsid w:val="006F1C7F"/>
    <w:rsid w:val="00700013"/>
    <w:rsid w:val="00712443"/>
    <w:rsid w:val="00724962"/>
    <w:rsid w:val="007257A6"/>
    <w:rsid w:val="00753535"/>
    <w:rsid w:val="00753849"/>
    <w:rsid w:val="007569D7"/>
    <w:rsid w:val="00756B8B"/>
    <w:rsid w:val="00761E74"/>
    <w:rsid w:val="007669E1"/>
    <w:rsid w:val="00772BD3"/>
    <w:rsid w:val="00774696"/>
    <w:rsid w:val="00774BDB"/>
    <w:rsid w:val="007800B7"/>
    <w:rsid w:val="0078495F"/>
    <w:rsid w:val="00793EE4"/>
    <w:rsid w:val="007B01DE"/>
    <w:rsid w:val="007C5735"/>
    <w:rsid w:val="007D675A"/>
    <w:rsid w:val="007F71C0"/>
    <w:rsid w:val="008040E0"/>
    <w:rsid w:val="008102DA"/>
    <w:rsid w:val="00822BE3"/>
    <w:rsid w:val="00843A9B"/>
    <w:rsid w:val="00843E28"/>
    <w:rsid w:val="00846207"/>
    <w:rsid w:val="00850E12"/>
    <w:rsid w:val="008679A6"/>
    <w:rsid w:val="00870B2C"/>
    <w:rsid w:val="0089106F"/>
    <w:rsid w:val="008A6FB1"/>
    <w:rsid w:val="008B0D25"/>
    <w:rsid w:val="008B5DBA"/>
    <w:rsid w:val="008B6CDD"/>
    <w:rsid w:val="008E533C"/>
    <w:rsid w:val="008F1DFE"/>
    <w:rsid w:val="008F2D39"/>
    <w:rsid w:val="008F4823"/>
    <w:rsid w:val="00906238"/>
    <w:rsid w:val="00910B9D"/>
    <w:rsid w:val="00950AE8"/>
    <w:rsid w:val="00960517"/>
    <w:rsid w:val="00963A9F"/>
    <w:rsid w:val="00975965"/>
    <w:rsid w:val="00976517"/>
    <w:rsid w:val="00992576"/>
    <w:rsid w:val="009947D4"/>
    <w:rsid w:val="009A2503"/>
    <w:rsid w:val="009A3F55"/>
    <w:rsid w:val="009B017F"/>
    <w:rsid w:val="009C1461"/>
    <w:rsid w:val="009D2E1B"/>
    <w:rsid w:val="009F3317"/>
    <w:rsid w:val="009F6DD0"/>
    <w:rsid w:val="00A269D9"/>
    <w:rsid w:val="00A37789"/>
    <w:rsid w:val="00A51E34"/>
    <w:rsid w:val="00A549ED"/>
    <w:rsid w:val="00A926B8"/>
    <w:rsid w:val="00AD470F"/>
    <w:rsid w:val="00AD5837"/>
    <w:rsid w:val="00AF4F9E"/>
    <w:rsid w:val="00B307DE"/>
    <w:rsid w:val="00B32E10"/>
    <w:rsid w:val="00B3648D"/>
    <w:rsid w:val="00B47DAE"/>
    <w:rsid w:val="00B60D4B"/>
    <w:rsid w:val="00B94FF5"/>
    <w:rsid w:val="00BA766E"/>
    <w:rsid w:val="00BB138C"/>
    <w:rsid w:val="00BC5929"/>
    <w:rsid w:val="00BD40B1"/>
    <w:rsid w:val="00C05914"/>
    <w:rsid w:val="00C447F8"/>
    <w:rsid w:val="00C62496"/>
    <w:rsid w:val="00C6767C"/>
    <w:rsid w:val="00C96D09"/>
    <w:rsid w:val="00CA045E"/>
    <w:rsid w:val="00CA2245"/>
    <w:rsid w:val="00CB450E"/>
    <w:rsid w:val="00CC074F"/>
    <w:rsid w:val="00CD6A69"/>
    <w:rsid w:val="00CE7458"/>
    <w:rsid w:val="00D05F3F"/>
    <w:rsid w:val="00D21953"/>
    <w:rsid w:val="00D23780"/>
    <w:rsid w:val="00D31AFD"/>
    <w:rsid w:val="00D343E4"/>
    <w:rsid w:val="00D37015"/>
    <w:rsid w:val="00D40505"/>
    <w:rsid w:val="00D45D3E"/>
    <w:rsid w:val="00D51895"/>
    <w:rsid w:val="00D543FA"/>
    <w:rsid w:val="00D55284"/>
    <w:rsid w:val="00D561CC"/>
    <w:rsid w:val="00D63359"/>
    <w:rsid w:val="00D70942"/>
    <w:rsid w:val="00D70F3F"/>
    <w:rsid w:val="00D760F3"/>
    <w:rsid w:val="00D91F10"/>
    <w:rsid w:val="00DC20A0"/>
    <w:rsid w:val="00DC6C46"/>
    <w:rsid w:val="00DD00EC"/>
    <w:rsid w:val="00DD0BE5"/>
    <w:rsid w:val="00DF3340"/>
    <w:rsid w:val="00E02801"/>
    <w:rsid w:val="00E04B08"/>
    <w:rsid w:val="00E11D6C"/>
    <w:rsid w:val="00E16C54"/>
    <w:rsid w:val="00E54A4F"/>
    <w:rsid w:val="00E56FE0"/>
    <w:rsid w:val="00E64F2B"/>
    <w:rsid w:val="00E725CA"/>
    <w:rsid w:val="00E83937"/>
    <w:rsid w:val="00E9271B"/>
    <w:rsid w:val="00EB07D6"/>
    <w:rsid w:val="00EB5151"/>
    <w:rsid w:val="00EB7FCD"/>
    <w:rsid w:val="00EE2993"/>
    <w:rsid w:val="00F42A1C"/>
    <w:rsid w:val="00F47396"/>
    <w:rsid w:val="00F56170"/>
    <w:rsid w:val="00F8469B"/>
    <w:rsid w:val="00FA5F3C"/>
    <w:rsid w:val="00FC4E62"/>
    <w:rsid w:val="00FC5686"/>
    <w:rsid w:val="00FD04A0"/>
    <w:rsid w:val="00FF0082"/>
    <w:rsid w:val="00FF19B9"/>
    <w:rsid w:val="00FF4CF7"/>
    <w:rsid w:val="01692D90"/>
    <w:rsid w:val="069177D3"/>
    <w:rsid w:val="0A916AB4"/>
    <w:rsid w:val="0D7652B5"/>
    <w:rsid w:val="0F20043D"/>
    <w:rsid w:val="113F3B29"/>
    <w:rsid w:val="114C434B"/>
    <w:rsid w:val="11865E35"/>
    <w:rsid w:val="12DA345C"/>
    <w:rsid w:val="17874B5B"/>
    <w:rsid w:val="1A416DBA"/>
    <w:rsid w:val="1AEA6B06"/>
    <w:rsid w:val="1E69143E"/>
    <w:rsid w:val="1FDD60A0"/>
    <w:rsid w:val="255B778E"/>
    <w:rsid w:val="25C675E6"/>
    <w:rsid w:val="27E62CB0"/>
    <w:rsid w:val="2BF575EB"/>
    <w:rsid w:val="2DFC55B6"/>
    <w:rsid w:val="2F8D4CDD"/>
    <w:rsid w:val="31195DC3"/>
    <w:rsid w:val="339A5F59"/>
    <w:rsid w:val="35844A52"/>
    <w:rsid w:val="35E36D7D"/>
    <w:rsid w:val="396145DD"/>
    <w:rsid w:val="3AB22E6F"/>
    <w:rsid w:val="3C003EDB"/>
    <w:rsid w:val="3C036B4A"/>
    <w:rsid w:val="3D0D46DF"/>
    <w:rsid w:val="41326AED"/>
    <w:rsid w:val="42B2629D"/>
    <w:rsid w:val="44B3210A"/>
    <w:rsid w:val="47A06E4B"/>
    <w:rsid w:val="47B70850"/>
    <w:rsid w:val="4E385903"/>
    <w:rsid w:val="4F991C0E"/>
    <w:rsid w:val="517A4DF5"/>
    <w:rsid w:val="51922E55"/>
    <w:rsid w:val="530D4FE1"/>
    <w:rsid w:val="531E3F45"/>
    <w:rsid w:val="533D67BF"/>
    <w:rsid w:val="55531DE3"/>
    <w:rsid w:val="561D2771"/>
    <w:rsid w:val="56D2184D"/>
    <w:rsid w:val="59576FB6"/>
    <w:rsid w:val="5A010C64"/>
    <w:rsid w:val="5DCE00F7"/>
    <w:rsid w:val="5E872FFD"/>
    <w:rsid w:val="64B16827"/>
    <w:rsid w:val="64F70EFB"/>
    <w:rsid w:val="654A79CF"/>
    <w:rsid w:val="65720290"/>
    <w:rsid w:val="6CB677C5"/>
    <w:rsid w:val="6D1F7993"/>
    <w:rsid w:val="6F96421E"/>
    <w:rsid w:val="737C441A"/>
    <w:rsid w:val="755A1566"/>
    <w:rsid w:val="75AF5D20"/>
    <w:rsid w:val="76A5715B"/>
    <w:rsid w:val="77753DAE"/>
    <w:rsid w:val="78AE0150"/>
    <w:rsid w:val="7A215589"/>
    <w:rsid w:val="7A8A7290"/>
    <w:rsid w:val="7BC44EDB"/>
    <w:rsid w:val="7BD84222"/>
    <w:rsid w:val="7C2C1D6F"/>
    <w:rsid w:val="7FE3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auto"/>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semiHidden/>
    <w:qFormat/>
    <w:uiPriority w:val="99"/>
    <w:rPr>
      <w:kern w:val="2"/>
      <w:sz w:val="18"/>
      <w:szCs w:val="18"/>
    </w:rPr>
  </w:style>
  <w:style w:type="character" w:customStyle="1" w:styleId="10">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897</Words>
  <Characters>5118</Characters>
  <Lines>42</Lines>
  <Paragraphs>12</Paragraphs>
  <TotalTime>16</TotalTime>
  <ScaleCrop>false</ScaleCrop>
  <LinksUpToDate>false</LinksUpToDate>
  <CharactersWithSpaces>6003</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2022-01-04T08:08:00Z</dcterms:created>
  <dc:creator>asd</dc:creator>
  <cp:lastModifiedBy>Administrator</cp:lastModifiedBy>
  <dcterms:modified xsi:type="dcterms:W3CDTF">2022-04-28T02:47:07Z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69E5972C6E4B42EC86C03F896F6ADAC1</vt:lpwstr>
  </property>
</Properties>
</file>