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right="0" w:firstLine="0" w:firstLineChars="0"/>
        <w:jc w:val="center"/>
        <w:textAlignment w:val="auto"/>
        <w:rPr>
          <w:rFonts w:hint="eastAsia" w:ascii="方正小标宋简体" w:hAnsi="方正小标宋简体" w:eastAsia="方正小标宋简体" w:cs="方正小标宋简体"/>
          <w:b w:val="0"/>
          <w:bCs w:val="0"/>
          <w:color w:val="auto"/>
          <w:kern w:val="0"/>
          <w:sz w:val="40"/>
          <w:szCs w:val="40"/>
          <w:lang w:val="en-US" w:eastAsia="zh-CN" w:bidi="ar-SA"/>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right="0" w:firstLine="0" w:firstLineChars="0"/>
        <w:jc w:val="center"/>
        <w:textAlignment w:val="auto"/>
        <w:rPr>
          <w:rFonts w:hint="eastAsia" w:ascii="方正小标宋简体" w:hAnsi="方正小标宋简体" w:eastAsia="方正小标宋简体" w:cs="方正小标宋简体"/>
          <w:b w:val="0"/>
          <w:bCs w:val="0"/>
          <w:color w:val="auto"/>
          <w:kern w:val="0"/>
          <w:sz w:val="40"/>
          <w:szCs w:val="40"/>
          <w:lang w:val="en-US" w:eastAsia="zh-CN" w:bidi="ar-SA"/>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right="0" w:firstLine="0" w:firstLineChars="0"/>
        <w:jc w:val="center"/>
        <w:textAlignment w:val="auto"/>
        <w:rPr>
          <w:rFonts w:hint="eastAsia" w:ascii="方正小标宋简体" w:hAnsi="方正小标宋简体" w:eastAsia="方正小标宋简体" w:cs="方正小标宋简体"/>
          <w:b w:val="0"/>
          <w:bCs w:val="0"/>
          <w:color w:val="auto"/>
          <w:kern w:val="0"/>
          <w:sz w:val="40"/>
          <w:szCs w:val="40"/>
          <w:lang w:val="en-US" w:eastAsia="zh-CN" w:bidi="ar-SA"/>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right="0" w:firstLine="0" w:firstLineChars="0"/>
        <w:jc w:val="center"/>
        <w:textAlignment w:val="auto"/>
        <w:rPr>
          <w:rFonts w:hint="eastAsia" w:ascii="方正小标宋简体" w:hAnsi="方正小标宋简体" w:eastAsia="方正小标宋简体" w:cs="方正小标宋简体"/>
          <w:b w:val="0"/>
          <w:bCs w:val="0"/>
          <w:color w:val="auto"/>
          <w:kern w:val="0"/>
          <w:sz w:val="40"/>
          <w:szCs w:val="40"/>
          <w:lang w:val="en-US" w:eastAsia="zh-CN" w:bidi="ar-SA"/>
        </w:rPr>
      </w:pPr>
      <w:r>
        <w:rPr>
          <w:rFonts w:hint="eastAsia" w:ascii="方正小标宋简体" w:hAnsi="方正小标宋简体" w:eastAsia="方正小标宋简体" w:cs="方正小标宋简体"/>
          <w:b w:val="0"/>
          <w:bCs w:val="0"/>
          <w:color w:val="auto"/>
          <w:kern w:val="0"/>
          <w:sz w:val="40"/>
          <w:szCs w:val="40"/>
          <w:lang w:val="en-US" w:eastAsia="zh-CN" w:bidi="ar-SA"/>
        </w:rPr>
        <w:t>甘肃省人民政府办公厅</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right="0" w:firstLine="0" w:firstLineChars="0"/>
        <w:jc w:val="center"/>
        <w:textAlignment w:val="auto"/>
        <w:rPr>
          <w:rFonts w:hint="eastAsia" w:ascii="方正小标宋简体" w:hAnsi="方正小标宋简体" w:eastAsia="方正小标宋简体" w:cs="方正小标宋简体"/>
          <w:b w:val="0"/>
          <w:bCs w:val="0"/>
          <w:color w:val="auto"/>
          <w:kern w:val="0"/>
          <w:sz w:val="40"/>
          <w:szCs w:val="40"/>
          <w:lang w:val="en-US" w:eastAsia="zh-CN" w:bidi="ar-SA"/>
        </w:rPr>
      </w:pPr>
      <w:r>
        <w:rPr>
          <w:rFonts w:hint="eastAsia" w:ascii="方正小标宋简体" w:hAnsi="方正小标宋简体" w:eastAsia="方正小标宋简体" w:cs="方正小标宋简体"/>
          <w:b w:val="0"/>
          <w:bCs w:val="0"/>
          <w:color w:val="auto"/>
          <w:kern w:val="0"/>
          <w:sz w:val="40"/>
          <w:szCs w:val="40"/>
          <w:lang w:val="en-US" w:eastAsia="zh-CN" w:bidi="ar-SA"/>
        </w:rPr>
        <w:t>关于印发甘肃省县域经济发展综合评价</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right="0" w:firstLine="0" w:firstLineChars="0"/>
        <w:jc w:val="center"/>
        <w:textAlignment w:val="auto"/>
        <w:rPr>
          <w:rFonts w:hint="eastAsia" w:ascii="方正小标宋简体" w:hAnsi="方正小标宋简体" w:eastAsia="方正小标宋简体" w:cs="方正小标宋简体"/>
          <w:b w:val="0"/>
          <w:bCs w:val="0"/>
          <w:color w:val="auto"/>
          <w:kern w:val="0"/>
          <w:sz w:val="40"/>
          <w:szCs w:val="40"/>
          <w:lang w:val="en-US" w:eastAsia="zh-CN" w:bidi="ar-SA"/>
        </w:rPr>
      </w:pPr>
      <w:r>
        <w:rPr>
          <w:rFonts w:hint="eastAsia" w:ascii="方正小标宋简体" w:hAnsi="方正小标宋简体" w:eastAsia="方正小标宋简体" w:cs="方正小标宋简体"/>
          <w:b w:val="0"/>
          <w:bCs w:val="0"/>
          <w:color w:val="auto"/>
          <w:kern w:val="0"/>
          <w:sz w:val="40"/>
          <w:szCs w:val="40"/>
          <w:lang w:val="en-US" w:eastAsia="zh-CN" w:bidi="ar-SA"/>
        </w:rPr>
        <w:t>考核办法（试行）的通知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right="0" w:firstLine="0" w:firstLineChars="0"/>
        <w:jc w:val="center"/>
        <w:textAlignment w:val="auto"/>
        <w:rPr>
          <w:rFonts w:hint="eastAsia" w:ascii="Times New Roman" w:hAnsi="Times New Roman" w:eastAsia="仿宋_GB2312" w:cs="Times New Roman"/>
          <w:b w:val="0"/>
          <w:bCs w:val="0"/>
          <w:color w:val="auto"/>
          <w:kern w:val="0"/>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right="0" w:firstLine="0" w:firstLineChars="0"/>
        <w:jc w:val="center"/>
        <w:textAlignment w:val="auto"/>
        <w:rPr>
          <w:rFonts w:hint="default" w:ascii="Times New Roman" w:hAnsi="Times New Roman" w:eastAsia="楷体_GB2312" w:cs="Times New Roman"/>
          <w:b w:val="0"/>
          <w:bCs w:val="0"/>
          <w:color w:val="auto"/>
          <w:kern w:val="0"/>
          <w:sz w:val="32"/>
          <w:szCs w:val="32"/>
          <w:lang w:val="en-US" w:eastAsia="zh-CN" w:bidi="ar-SA"/>
        </w:rPr>
      </w:pPr>
      <w:r>
        <w:rPr>
          <w:rFonts w:hint="default" w:ascii="Times New Roman" w:hAnsi="Times New Roman" w:eastAsia="楷体_GB2312" w:cs="Times New Roman"/>
          <w:b w:val="0"/>
          <w:bCs w:val="0"/>
          <w:color w:val="auto"/>
          <w:kern w:val="0"/>
          <w:sz w:val="32"/>
          <w:szCs w:val="32"/>
          <w:lang w:val="en-US" w:eastAsia="zh-CN" w:bidi="ar-SA"/>
        </w:rPr>
        <w:t>（甘政办发〔2021〕41号  2021年5月26日）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leftChars="0" w:right="0" w:firstLine="0" w:firstLineChars="0"/>
        <w:jc w:val="both"/>
        <w:textAlignment w:val="auto"/>
        <w:rPr>
          <w:rFonts w:hint="default"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各市、自治州人民政府，兰州新区管委会，省政府有关部门，中央在甘有关单位：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《甘肃省县域经济发展综合评价考核办法（试行）》已经省政府同意，现印发你们，请结合实际，认真抓好贯彻落实。</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firstLine="0" w:firstLineChars="0"/>
        <w:jc w:val="center"/>
        <w:textAlignment w:val="auto"/>
        <w:rPr>
          <w:rFonts w:hint="eastAsia" w:ascii="方正小标宋简体" w:hAnsi="方正小标宋简体" w:eastAsia="方正小标宋简体" w:cs="方正小标宋简体"/>
          <w:b w:val="0"/>
          <w:bCs w:val="0"/>
          <w:color w:val="auto"/>
          <w:kern w:val="0"/>
          <w:sz w:val="38"/>
          <w:szCs w:val="38"/>
          <w:lang w:val="en-US" w:eastAsia="zh-CN" w:bidi="ar-SA"/>
        </w:rPr>
      </w:pPr>
      <w:bookmarkStart w:id="0" w:name="_GoBack"/>
      <w:bookmarkEnd w:id="0"/>
      <w:r>
        <w:rPr>
          <w:rFonts w:hint="eastAsia" w:ascii="方正小标宋简体" w:hAnsi="方正小标宋简体" w:eastAsia="方正小标宋简体" w:cs="方正小标宋简体"/>
          <w:b w:val="0"/>
          <w:bCs w:val="0"/>
          <w:color w:val="auto"/>
          <w:kern w:val="0"/>
          <w:sz w:val="38"/>
          <w:szCs w:val="38"/>
          <w:lang w:val="en-US" w:eastAsia="zh-CN" w:bidi="ar-SA"/>
        </w:rPr>
        <w:t>甘肃省县域经济发展综合评价考核办法（试行）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为深入贯彻落实省委、省政府《关于加快县域经济高质量发展的意见》（甘发〔2021〕9号）精神，引导各县市区（以下简称“县”）加快培育壮大县域经济，制定本考核办法。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一、考核对象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全省86个县。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二、考核原则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楷体_GB2312" w:cs="Times New Roman"/>
          <w:b/>
          <w:bCs/>
          <w:color w:val="auto"/>
          <w:kern w:val="0"/>
          <w:sz w:val="32"/>
          <w:szCs w:val="32"/>
          <w:lang w:val="en-US" w:eastAsia="zh-CN" w:bidi="ar-SA"/>
        </w:rPr>
        <w:t>——科学导向、突出重点</w:t>
      </w:r>
      <w:r>
        <w:rPr>
          <w:rFonts w:hint="eastAsia" w:ascii="Times New Roman" w:hAnsi="Times New Roman" w:eastAsia="仿宋_GB2312" w:cs="Times New Roman"/>
          <w:b w:val="0"/>
          <w:bCs w:val="0"/>
          <w:color w:val="auto"/>
          <w:kern w:val="0"/>
          <w:sz w:val="32"/>
          <w:szCs w:val="32"/>
          <w:lang w:val="en-US" w:eastAsia="zh-CN" w:bidi="ar-SA"/>
        </w:rPr>
        <w:t>。引导各县树立高质量发展导向，更加突出创新、聚集、绿色的发展方向和重点。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楷体_GB2312" w:cs="Times New Roman"/>
          <w:b/>
          <w:bCs/>
          <w:color w:val="auto"/>
          <w:kern w:val="0"/>
          <w:sz w:val="32"/>
          <w:szCs w:val="32"/>
          <w:lang w:val="en-US" w:eastAsia="zh-CN" w:bidi="ar-SA"/>
        </w:rPr>
        <w:t>——分类考评、公平公正</w:t>
      </w:r>
      <w:r>
        <w:rPr>
          <w:rFonts w:hint="eastAsia" w:ascii="Times New Roman" w:hAnsi="Times New Roman" w:eastAsia="仿宋_GB2312" w:cs="Times New Roman"/>
          <w:b w:val="0"/>
          <w:bCs w:val="0"/>
          <w:color w:val="auto"/>
          <w:kern w:val="0"/>
          <w:sz w:val="32"/>
          <w:szCs w:val="32"/>
          <w:lang w:val="en-US" w:eastAsia="zh-CN" w:bidi="ar-SA"/>
        </w:rPr>
        <w:t>。充分考虑各县发展基础和产业方向，注重评价的科学性和操作性，客观反映经济发展成效。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楷体_GB2312" w:cs="Times New Roman"/>
          <w:b/>
          <w:bCs/>
          <w:color w:val="auto"/>
          <w:kern w:val="0"/>
          <w:sz w:val="32"/>
          <w:szCs w:val="32"/>
          <w:lang w:val="en-US" w:eastAsia="zh-CN" w:bidi="ar-SA"/>
        </w:rPr>
        <w:t>——促进发展、强化激励</w:t>
      </w:r>
      <w:r>
        <w:rPr>
          <w:rFonts w:hint="eastAsia" w:ascii="Times New Roman" w:hAnsi="Times New Roman" w:eastAsia="仿宋_GB2312" w:cs="Times New Roman"/>
          <w:b w:val="0"/>
          <w:bCs w:val="0"/>
          <w:color w:val="auto"/>
          <w:kern w:val="0"/>
          <w:sz w:val="32"/>
          <w:szCs w:val="32"/>
          <w:lang w:val="en-US" w:eastAsia="zh-CN" w:bidi="ar-SA"/>
        </w:rPr>
        <w:t>。发挥县域特色和优势，激发经济发展活力，推动构建各具特色、竞相发展的县域经济新格局。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三、考核内容及指标设定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楷体_GB2312" w:cs="Times New Roman"/>
          <w:b/>
          <w:bCs/>
          <w:color w:val="auto"/>
          <w:kern w:val="0"/>
          <w:sz w:val="32"/>
          <w:szCs w:val="32"/>
          <w:lang w:val="en-US" w:eastAsia="zh-CN" w:bidi="ar-SA"/>
        </w:rPr>
        <w:t>（一）考核内容</w:t>
      </w:r>
      <w:r>
        <w:rPr>
          <w:rFonts w:hint="eastAsia" w:ascii="Times New Roman" w:hAnsi="Times New Roman" w:eastAsia="仿宋_GB2312" w:cs="Times New Roman"/>
          <w:b w:val="0"/>
          <w:bCs w:val="0"/>
          <w:color w:val="auto"/>
          <w:kern w:val="0"/>
          <w:sz w:val="32"/>
          <w:szCs w:val="32"/>
          <w:lang w:val="en-US" w:eastAsia="zh-CN" w:bidi="ar-SA"/>
        </w:rPr>
        <w:t>。各县根据主体功能定位，结合发展基础、资源禀赋和产业发展方向，自主确定1—2种发展类型，经市（州）政府研究确定后，向省加快县域经济高质量发展领导小组办公室备案。其中，位于限制开发区的农产品主产区或重点生态功能区的县，须先选择农业优先型或生态功能型。选择两种发展类型的县，在完成主体功能区发展要求的基础上，参评其他类型考核，以分类评价得分高的为准。其中：</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城市服务型，突出城市功能增长和辐射带动，侧重对城镇化水平、服务业等发展成效的考核。</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工业主导型，突出工业集聚和转型升级，侧重对工业产业规模、科技创新等发展成效的考核。</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农业优先型，突出农业产业提质增效，侧重对农业产业化、农民增收等发展成效的考核。</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文旅赋能型，突出文旅资源转化带动，侧重对文化旅游业综合发展、相关产业带动等发展成效的考核。</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生态功能型，突出生态优先和环境保护，侧重对生态保护、环境质量等发展成效的考核。</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楷体_GB2312" w:cs="Times New Roman"/>
          <w:b/>
          <w:bCs/>
          <w:color w:val="auto"/>
          <w:kern w:val="0"/>
          <w:sz w:val="32"/>
          <w:szCs w:val="32"/>
          <w:lang w:val="en-US" w:eastAsia="zh-CN" w:bidi="ar-SA"/>
        </w:rPr>
        <w:t>（二）指标设定</w:t>
      </w:r>
      <w:r>
        <w:rPr>
          <w:rFonts w:hint="eastAsia" w:ascii="Times New Roman" w:hAnsi="Times New Roman" w:eastAsia="仿宋_GB2312" w:cs="Times New Roman"/>
          <w:b w:val="0"/>
          <w:bCs w:val="0"/>
          <w:color w:val="auto"/>
          <w:kern w:val="0"/>
          <w:sz w:val="32"/>
          <w:szCs w:val="32"/>
          <w:lang w:val="en-US" w:eastAsia="zh-CN" w:bidi="ar-SA"/>
        </w:rPr>
        <w:t>。县域经济发展综合评价指标在客观反映县域经济发展现状的基础上，更加突出竞相发展导向，更加突出绿色创新发展理念，更加突出产业优先发展路径，设置经济发展、创新驱动、城乡融合、绿色生态、风险防控5个方面25项指标，其中，正向评价指标21项、逆向评价指标4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四、考核程序及结果运用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县域经济发展综合评价由省委组织部、省发展改革委、省统计局会同有关部门组织实施。数据来源部门对其负责的指标数据经认定、复核后报送省统计局，由省统计局负责测算评价得分。形成考核结果后，由省加快县域经济高质量发展领导小组办公室上报领导小组审定，并报请以省委省政府名义表彰奖励。对获奖的县，在安排项目、资金等方面适当予以倾斜。评价结果作为各县党政领导班子和领导干部综合考核评价、干部奖惩任免和给予相关政策激励的重要依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附件：1.甘肃省县域经济发展综合评价考核指标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　　　2.甘肃省县域经济发展综合评价考核指标说明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leftChars="0" w:right="0" w:firstLine="0" w:firstLineChars="0"/>
        <w:jc w:val="both"/>
        <w:textAlignment w:val="auto"/>
        <w:rPr>
          <w:rFonts w:hint="eastAsia" w:ascii="黑体" w:hAnsi="黑体" w:eastAsia="黑体" w:cs="黑体"/>
          <w:b w:val="0"/>
          <w:bCs w:val="0"/>
          <w:color w:val="auto"/>
          <w:kern w:val="0"/>
          <w:sz w:val="32"/>
          <w:szCs w:val="32"/>
          <w:lang w:val="en-US" w:eastAsia="zh-CN" w:bidi="ar-SA"/>
        </w:rPr>
        <w:sectPr>
          <w:headerReference r:id="rId4" w:type="first"/>
          <w:headerReference r:id="rId3" w:type="default"/>
          <w:footerReference r:id="rId5" w:type="default"/>
          <w:pgSz w:w="11906" w:h="16838"/>
          <w:pgMar w:top="2098" w:right="1474" w:bottom="1984" w:left="1587" w:header="851" w:footer="1361" w:gutter="0"/>
          <w:pgBorders>
            <w:top w:val="none" w:sz="0" w:space="0"/>
            <w:left w:val="none" w:sz="0" w:space="0"/>
            <w:bottom w:val="none" w:sz="0" w:space="0"/>
            <w:right w:val="none" w:sz="0" w:space="0"/>
          </w:pgBorders>
          <w:pgNumType w:fmt="decimal"/>
          <w:cols w:space="720" w:num="1"/>
          <w:titlePg/>
          <w:rtlGutter w:val="0"/>
          <w:docGrid w:linePitch="442" w:charSpace="0"/>
        </w:sect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leftChars="0" w:right="0" w:firstLine="0" w:firstLineChars="0"/>
        <w:jc w:val="both"/>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附件1</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480" w:lineRule="exact"/>
        <w:ind w:left="0" w:leftChars="0" w:right="0" w:firstLine="0" w:firstLineChars="0"/>
        <w:jc w:val="both"/>
        <w:textAlignment w:val="auto"/>
        <w:rPr>
          <w:rFonts w:hint="eastAsia" w:ascii="黑体" w:hAnsi="黑体" w:eastAsia="黑体" w:cs="黑体"/>
          <w:b w:val="0"/>
          <w:bCs w:val="0"/>
          <w:color w:val="auto"/>
          <w:kern w:val="0"/>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9"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auto"/>
          <w:kern w:val="0"/>
          <w:sz w:val="38"/>
          <w:szCs w:val="38"/>
          <w:lang w:val="en-US" w:eastAsia="zh-CN" w:bidi="ar-SA"/>
        </w:rPr>
      </w:pPr>
      <w:r>
        <w:rPr>
          <w:rFonts w:hint="eastAsia" w:ascii="方正小标宋简体" w:hAnsi="方正小标宋简体" w:eastAsia="方正小标宋简体" w:cs="方正小标宋简体"/>
          <w:b w:val="0"/>
          <w:bCs w:val="0"/>
          <w:color w:val="auto"/>
          <w:kern w:val="0"/>
          <w:sz w:val="38"/>
          <w:szCs w:val="38"/>
          <w:lang w:val="en-US" w:eastAsia="zh-CN" w:bidi="ar-SA"/>
        </w:rPr>
        <w:t>甘肃省县域经济发展综合评价考核指标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240" w:lineRule="exact"/>
        <w:ind w:left="0" w:right="0" w:firstLine="0" w:firstLineChars="0"/>
        <w:jc w:val="both"/>
        <w:textAlignment w:val="auto"/>
        <w:rPr>
          <w:rFonts w:hint="eastAsia" w:ascii="Times New Roman" w:hAnsi="Times New Roman" w:eastAsia="仿宋_GB2312" w:cs="Times New Roman"/>
          <w:b w:val="0"/>
          <w:bCs w:val="0"/>
          <w:color w:val="auto"/>
          <w:kern w:val="0"/>
          <w:sz w:val="32"/>
          <w:szCs w:val="32"/>
          <w:lang w:val="en-US" w:eastAsia="zh-CN" w:bidi="ar-SA"/>
        </w:rPr>
      </w:pPr>
    </w:p>
    <w:tbl>
      <w:tblPr>
        <w:tblStyle w:val="9"/>
        <w:tblW w:w="13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568"/>
        <w:gridCol w:w="4188"/>
        <w:gridCol w:w="598"/>
        <w:gridCol w:w="1246"/>
        <w:gridCol w:w="1231"/>
        <w:gridCol w:w="1262"/>
        <w:gridCol w:w="1215"/>
        <w:gridCol w:w="1231"/>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0" w:hRule="exact"/>
          <w:tblHeader/>
          <w:jc w:val="center"/>
        </w:trPr>
        <w:tc>
          <w:tcPr>
            <w:tcW w:w="568" w:type="dxa"/>
            <w:vMerge w:val="restart"/>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黑体" w:hAnsi="黑体" w:eastAsia="黑体" w:cs="黑体"/>
                <w:b w:val="0"/>
                <w:bCs w:val="0"/>
                <w:color w:val="auto"/>
                <w:kern w:val="0"/>
                <w:sz w:val="21"/>
                <w:szCs w:val="21"/>
                <w:vertAlign w:val="baseline"/>
                <w:lang w:val="en-US" w:eastAsia="zh-CN" w:bidi="ar-SA"/>
              </w:rPr>
            </w:pPr>
            <w:r>
              <w:rPr>
                <w:rFonts w:hint="eastAsia" w:ascii="黑体" w:hAnsi="黑体" w:eastAsia="黑体" w:cs="黑体"/>
                <w:sz w:val="21"/>
                <w:szCs w:val="21"/>
              </w:rPr>
              <w:t>序号</w:t>
            </w:r>
          </w:p>
        </w:tc>
        <w:tc>
          <w:tcPr>
            <w:tcW w:w="4188" w:type="dxa"/>
            <w:vMerge w:val="restart"/>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黑体" w:hAnsi="黑体" w:eastAsia="黑体" w:cs="黑体"/>
                <w:b w:val="0"/>
                <w:bCs w:val="0"/>
                <w:color w:val="auto"/>
                <w:kern w:val="0"/>
                <w:sz w:val="21"/>
                <w:szCs w:val="21"/>
                <w:vertAlign w:val="baseline"/>
                <w:lang w:val="en-US" w:eastAsia="zh-CN" w:bidi="ar-SA"/>
              </w:rPr>
            </w:pPr>
            <w:r>
              <w:rPr>
                <w:rFonts w:hint="eastAsia" w:ascii="黑体" w:hAnsi="黑体" w:eastAsia="黑体" w:cs="黑体"/>
                <w:sz w:val="21"/>
                <w:szCs w:val="21"/>
              </w:rPr>
              <w:t>指标名称</w:t>
            </w:r>
          </w:p>
        </w:tc>
        <w:tc>
          <w:tcPr>
            <w:tcW w:w="598" w:type="dxa"/>
            <w:vMerge w:val="restart"/>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黑体" w:hAnsi="黑体" w:eastAsia="黑体" w:cs="黑体"/>
                <w:b w:val="0"/>
                <w:bCs w:val="0"/>
                <w:color w:val="auto"/>
                <w:kern w:val="0"/>
                <w:sz w:val="21"/>
                <w:szCs w:val="21"/>
                <w:vertAlign w:val="baseline"/>
                <w:lang w:val="en-US" w:eastAsia="zh-CN" w:bidi="ar-SA"/>
              </w:rPr>
            </w:pPr>
            <w:r>
              <w:rPr>
                <w:rFonts w:hint="eastAsia" w:ascii="黑体" w:hAnsi="黑体" w:eastAsia="黑体" w:cs="黑体"/>
                <w:sz w:val="21"/>
                <w:szCs w:val="21"/>
              </w:rPr>
              <w:t>指标性质</w:t>
            </w:r>
          </w:p>
        </w:tc>
        <w:tc>
          <w:tcPr>
            <w:tcW w:w="1246"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黑体" w:hAnsi="黑体" w:eastAsia="黑体" w:cs="黑体"/>
                <w:b w:val="0"/>
                <w:bCs w:val="0"/>
                <w:color w:val="auto"/>
                <w:kern w:val="0"/>
                <w:sz w:val="21"/>
                <w:szCs w:val="21"/>
                <w:vertAlign w:val="baseline"/>
                <w:lang w:val="en-US" w:eastAsia="zh-CN" w:bidi="ar-SA"/>
              </w:rPr>
            </w:pPr>
            <w:r>
              <w:rPr>
                <w:rFonts w:hint="eastAsia" w:ascii="黑体" w:hAnsi="黑体" w:eastAsia="黑体" w:cs="黑体"/>
                <w:sz w:val="21"/>
                <w:szCs w:val="21"/>
              </w:rPr>
              <w:t>城市服务型</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黑体" w:hAnsi="黑体" w:eastAsia="黑体" w:cs="黑体"/>
                <w:b w:val="0"/>
                <w:bCs w:val="0"/>
                <w:color w:val="auto"/>
                <w:kern w:val="0"/>
                <w:sz w:val="21"/>
                <w:szCs w:val="21"/>
                <w:vertAlign w:val="baseline"/>
                <w:lang w:val="en-US" w:eastAsia="zh-CN" w:bidi="ar-SA"/>
              </w:rPr>
            </w:pPr>
            <w:r>
              <w:rPr>
                <w:rFonts w:hint="eastAsia" w:ascii="黑体" w:hAnsi="黑体" w:eastAsia="黑体" w:cs="黑体"/>
                <w:sz w:val="21"/>
                <w:szCs w:val="21"/>
              </w:rPr>
              <w:t>工业主导型</w:t>
            </w:r>
          </w:p>
        </w:tc>
        <w:tc>
          <w:tcPr>
            <w:tcW w:w="1262"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黑体" w:hAnsi="黑体" w:eastAsia="黑体" w:cs="黑体"/>
                <w:b w:val="0"/>
                <w:bCs w:val="0"/>
                <w:color w:val="auto"/>
                <w:kern w:val="0"/>
                <w:sz w:val="21"/>
                <w:szCs w:val="21"/>
                <w:vertAlign w:val="baseline"/>
                <w:lang w:val="en-US" w:eastAsia="zh-CN" w:bidi="ar-SA"/>
              </w:rPr>
            </w:pPr>
            <w:r>
              <w:rPr>
                <w:rFonts w:hint="eastAsia" w:ascii="黑体" w:hAnsi="黑体" w:eastAsia="黑体" w:cs="黑体"/>
                <w:sz w:val="21"/>
                <w:szCs w:val="21"/>
              </w:rPr>
              <w:t>农业优先型</w:t>
            </w:r>
          </w:p>
        </w:tc>
        <w:tc>
          <w:tcPr>
            <w:tcW w:w="1215"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黑体" w:hAnsi="黑体" w:eastAsia="黑体" w:cs="黑体"/>
                <w:b w:val="0"/>
                <w:bCs w:val="0"/>
                <w:color w:val="auto"/>
                <w:kern w:val="0"/>
                <w:sz w:val="21"/>
                <w:szCs w:val="21"/>
                <w:vertAlign w:val="baseline"/>
                <w:lang w:val="en-US" w:eastAsia="zh-CN" w:bidi="ar-SA"/>
              </w:rPr>
            </w:pPr>
            <w:r>
              <w:rPr>
                <w:rFonts w:hint="eastAsia" w:ascii="黑体" w:hAnsi="黑体" w:eastAsia="黑体" w:cs="黑体"/>
                <w:sz w:val="21"/>
                <w:szCs w:val="21"/>
              </w:rPr>
              <w:t>文旅赋能型</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黑体" w:hAnsi="黑体" w:eastAsia="黑体" w:cs="黑体"/>
                <w:b w:val="0"/>
                <w:bCs w:val="0"/>
                <w:color w:val="auto"/>
                <w:kern w:val="0"/>
                <w:sz w:val="21"/>
                <w:szCs w:val="21"/>
                <w:vertAlign w:val="baseline"/>
                <w:lang w:val="en-US" w:eastAsia="zh-CN" w:bidi="ar-SA"/>
              </w:rPr>
            </w:pPr>
            <w:r>
              <w:rPr>
                <w:rFonts w:hint="eastAsia" w:ascii="黑体" w:hAnsi="黑体" w:eastAsia="黑体" w:cs="黑体"/>
                <w:sz w:val="21"/>
                <w:szCs w:val="21"/>
              </w:rPr>
              <w:t>生态功能型</w:t>
            </w:r>
          </w:p>
        </w:tc>
        <w:tc>
          <w:tcPr>
            <w:tcW w:w="1517" w:type="dxa"/>
            <w:vMerge w:val="restart"/>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黑体" w:hAnsi="黑体" w:eastAsia="黑体" w:cs="黑体"/>
                <w:b w:val="0"/>
                <w:bCs w:val="0"/>
                <w:color w:val="auto"/>
                <w:kern w:val="0"/>
                <w:sz w:val="21"/>
                <w:szCs w:val="21"/>
                <w:vertAlign w:val="baseline"/>
                <w:lang w:val="en-US" w:eastAsia="zh-CN" w:bidi="ar-SA"/>
              </w:rPr>
            </w:pPr>
            <w:r>
              <w:rPr>
                <w:rFonts w:hint="eastAsia" w:ascii="黑体" w:hAnsi="黑体" w:eastAsia="黑体" w:cs="黑体"/>
                <w:sz w:val="21"/>
                <w:szCs w:val="21"/>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0" w:hRule="exact"/>
          <w:tblHeader/>
          <w:jc w:val="center"/>
        </w:trPr>
        <w:tc>
          <w:tcPr>
            <w:tcW w:w="568" w:type="dxa"/>
            <w:vMerge w:val="continue"/>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黑体" w:hAnsi="黑体" w:eastAsia="黑体" w:cs="黑体"/>
                <w:b w:val="0"/>
                <w:bCs w:val="0"/>
                <w:color w:val="auto"/>
                <w:kern w:val="0"/>
                <w:sz w:val="21"/>
                <w:szCs w:val="21"/>
                <w:vertAlign w:val="baseline"/>
                <w:lang w:val="en-US" w:eastAsia="zh-CN" w:bidi="ar-SA"/>
              </w:rPr>
            </w:pPr>
          </w:p>
        </w:tc>
        <w:tc>
          <w:tcPr>
            <w:tcW w:w="4188" w:type="dxa"/>
            <w:vMerge w:val="continue"/>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黑体" w:hAnsi="黑体" w:eastAsia="黑体" w:cs="黑体"/>
                <w:b w:val="0"/>
                <w:bCs w:val="0"/>
                <w:color w:val="auto"/>
                <w:kern w:val="0"/>
                <w:sz w:val="21"/>
                <w:szCs w:val="21"/>
                <w:vertAlign w:val="baseline"/>
                <w:lang w:val="en-US" w:eastAsia="zh-CN" w:bidi="ar-SA"/>
              </w:rPr>
            </w:pPr>
          </w:p>
        </w:tc>
        <w:tc>
          <w:tcPr>
            <w:tcW w:w="598" w:type="dxa"/>
            <w:vMerge w:val="continue"/>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黑体" w:hAnsi="黑体" w:eastAsia="黑体" w:cs="黑体"/>
                <w:b w:val="0"/>
                <w:bCs w:val="0"/>
                <w:color w:val="auto"/>
                <w:kern w:val="0"/>
                <w:sz w:val="21"/>
                <w:szCs w:val="21"/>
                <w:vertAlign w:val="baseline"/>
                <w:lang w:val="en-US" w:eastAsia="zh-CN" w:bidi="ar-SA"/>
              </w:rPr>
            </w:pPr>
          </w:p>
        </w:tc>
        <w:tc>
          <w:tcPr>
            <w:tcW w:w="1246"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黑体" w:hAnsi="黑体" w:eastAsia="黑体" w:cs="黑体"/>
                <w:b w:val="0"/>
                <w:bCs w:val="0"/>
                <w:color w:val="auto"/>
                <w:kern w:val="0"/>
                <w:sz w:val="21"/>
                <w:szCs w:val="21"/>
                <w:vertAlign w:val="baseline"/>
                <w:lang w:val="en-US" w:eastAsia="zh-CN" w:bidi="ar-SA"/>
              </w:rPr>
            </w:pPr>
            <w:r>
              <w:rPr>
                <w:rFonts w:hint="eastAsia" w:ascii="黑体" w:hAnsi="黑体" w:eastAsia="黑体" w:cs="黑体"/>
                <w:sz w:val="21"/>
                <w:szCs w:val="21"/>
              </w:rPr>
              <w:t>权重(%)</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黑体" w:hAnsi="黑体" w:eastAsia="黑体" w:cs="黑体"/>
                <w:b w:val="0"/>
                <w:bCs w:val="0"/>
                <w:color w:val="auto"/>
                <w:kern w:val="0"/>
                <w:sz w:val="21"/>
                <w:szCs w:val="21"/>
                <w:vertAlign w:val="baseline"/>
                <w:lang w:val="en-US" w:eastAsia="zh-CN" w:bidi="ar-SA"/>
              </w:rPr>
            </w:pPr>
            <w:r>
              <w:rPr>
                <w:rFonts w:hint="eastAsia" w:ascii="黑体" w:hAnsi="黑体" w:eastAsia="黑体" w:cs="黑体"/>
                <w:sz w:val="21"/>
                <w:szCs w:val="21"/>
              </w:rPr>
              <w:t>权重(%)</w:t>
            </w:r>
          </w:p>
        </w:tc>
        <w:tc>
          <w:tcPr>
            <w:tcW w:w="1262"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黑体" w:hAnsi="黑体" w:eastAsia="黑体" w:cs="黑体"/>
                <w:b w:val="0"/>
                <w:bCs w:val="0"/>
                <w:color w:val="auto"/>
                <w:kern w:val="0"/>
                <w:sz w:val="21"/>
                <w:szCs w:val="21"/>
                <w:vertAlign w:val="baseline"/>
                <w:lang w:val="en-US" w:eastAsia="zh-CN" w:bidi="ar-SA"/>
              </w:rPr>
            </w:pPr>
            <w:r>
              <w:rPr>
                <w:rFonts w:hint="eastAsia" w:ascii="黑体" w:hAnsi="黑体" w:eastAsia="黑体" w:cs="黑体"/>
                <w:sz w:val="21"/>
                <w:szCs w:val="21"/>
              </w:rPr>
              <w:t>权重(%)</w:t>
            </w:r>
          </w:p>
        </w:tc>
        <w:tc>
          <w:tcPr>
            <w:tcW w:w="1215"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黑体" w:hAnsi="黑体" w:eastAsia="黑体" w:cs="黑体"/>
                <w:b w:val="0"/>
                <w:bCs w:val="0"/>
                <w:color w:val="auto"/>
                <w:kern w:val="0"/>
                <w:sz w:val="21"/>
                <w:szCs w:val="21"/>
                <w:vertAlign w:val="baseline"/>
                <w:lang w:val="en-US" w:eastAsia="zh-CN" w:bidi="ar-SA"/>
              </w:rPr>
            </w:pPr>
            <w:r>
              <w:rPr>
                <w:rFonts w:hint="eastAsia" w:ascii="黑体" w:hAnsi="黑体" w:eastAsia="黑体" w:cs="黑体"/>
                <w:sz w:val="21"/>
                <w:szCs w:val="21"/>
              </w:rPr>
              <w:t>权重(%)</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黑体" w:hAnsi="黑体" w:eastAsia="黑体" w:cs="黑体"/>
                <w:b w:val="0"/>
                <w:bCs w:val="0"/>
                <w:color w:val="auto"/>
                <w:kern w:val="0"/>
                <w:sz w:val="21"/>
                <w:szCs w:val="21"/>
                <w:vertAlign w:val="baseline"/>
                <w:lang w:val="en-US" w:eastAsia="zh-CN" w:bidi="ar-SA"/>
              </w:rPr>
            </w:pPr>
            <w:r>
              <w:rPr>
                <w:rFonts w:hint="eastAsia" w:ascii="黑体" w:hAnsi="黑体" w:eastAsia="黑体" w:cs="黑体"/>
                <w:sz w:val="21"/>
                <w:szCs w:val="21"/>
              </w:rPr>
              <w:t>权重(%)</w:t>
            </w:r>
          </w:p>
        </w:tc>
        <w:tc>
          <w:tcPr>
            <w:tcW w:w="1517" w:type="dxa"/>
            <w:vMerge w:val="continue"/>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黑体" w:hAnsi="黑体" w:eastAsia="黑体" w:cs="黑体"/>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0" w:hRule="exact"/>
          <w:jc w:val="center"/>
        </w:trPr>
        <w:tc>
          <w:tcPr>
            <w:tcW w:w="4756" w:type="dxa"/>
            <w:gridSpan w:val="2"/>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Times New Roman" w:hAnsi="Times New Roman" w:eastAsia="仿宋_GB2312" w:cs="Times New Roman"/>
                <w:b w:val="0"/>
                <w:bCs w:val="0"/>
                <w:color w:val="auto"/>
                <w:kern w:val="0"/>
                <w:sz w:val="21"/>
                <w:szCs w:val="21"/>
                <w:vertAlign w:val="baseline"/>
                <w:lang w:val="en-US" w:eastAsia="zh-CN" w:bidi="ar-SA"/>
              </w:rPr>
            </w:pPr>
            <w:r>
              <w:rPr>
                <w:rFonts w:hint="eastAsia" w:ascii="黑体" w:hAnsi="黑体" w:eastAsia="黑体" w:cs="黑体"/>
                <w:b w:val="0"/>
                <w:bCs w:val="0"/>
                <w:sz w:val="21"/>
                <w:szCs w:val="21"/>
              </w:rPr>
              <w:t>一、经济发展</w:t>
            </w:r>
          </w:p>
        </w:tc>
        <w:tc>
          <w:tcPr>
            <w:tcW w:w="59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val="0"/>
                <w:bCs w:val="0"/>
                <w:color w:val="auto"/>
                <w:kern w:val="0"/>
                <w:sz w:val="21"/>
                <w:szCs w:val="21"/>
                <w:vertAlign w:val="baseline"/>
                <w:lang w:val="en-US" w:eastAsia="zh-CN" w:bidi="ar-SA"/>
              </w:rPr>
            </w:pPr>
          </w:p>
        </w:tc>
        <w:tc>
          <w:tcPr>
            <w:tcW w:w="1246"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bCs/>
                <w:color w:val="auto"/>
                <w:kern w:val="0"/>
                <w:sz w:val="21"/>
                <w:szCs w:val="21"/>
                <w:vertAlign w:val="baseline"/>
                <w:lang w:val="en-US" w:eastAsia="zh-CN" w:bidi="ar-SA"/>
              </w:rPr>
            </w:pPr>
            <w:r>
              <w:rPr>
                <w:rFonts w:hint="eastAsia" w:ascii="宋体" w:hAnsi="宋体" w:eastAsia="宋体" w:cs="宋体"/>
                <w:b/>
                <w:bCs/>
                <w:sz w:val="21"/>
                <w:szCs w:val="21"/>
              </w:rPr>
              <w:t>33</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bCs/>
                <w:color w:val="auto"/>
                <w:kern w:val="0"/>
                <w:sz w:val="21"/>
                <w:szCs w:val="21"/>
                <w:vertAlign w:val="baseline"/>
                <w:lang w:val="en-US" w:eastAsia="zh-CN" w:bidi="ar-SA"/>
              </w:rPr>
            </w:pPr>
            <w:r>
              <w:rPr>
                <w:rFonts w:hint="eastAsia" w:ascii="宋体" w:hAnsi="宋体" w:eastAsia="宋体" w:cs="宋体"/>
                <w:b/>
                <w:bCs/>
                <w:sz w:val="21"/>
                <w:szCs w:val="21"/>
              </w:rPr>
              <w:t>35</w:t>
            </w:r>
          </w:p>
        </w:tc>
        <w:tc>
          <w:tcPr>
            <w:tcW w:w="1262"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bCs/>
                <w:color w:val="auto"/>
                <w:kern w:val="0"/>
                <w:sz w:val="21"/>
                <w:szCs w:val="21"/>
                <w:vertAlign w:val="baseline"/>
                <w:lang w:val="en-US" w:eastAsia="zh-CN" w:bidi="ar-SA"/>
              </w:rPr>
            </w:pPr>
            <w:r>
              <w:rPr>
                <w:rFonts w:hint="eastAsia" w:ascii="宋体" w:hAnsi="宋体" w:eastAsia="宋体" w:cs="宋体"/>
                <w:b/>
                <w:bCs/>
                <w:sz w:val="21"/>
                <w:szCs w:val="21"/>
              </w:rPr>
              <w:t>28</w:t>
            </w:r>
          </w:p>
        </w:tc>
        <w:tc>
          <w:tcPr>
            <w:tcW w:w="1215"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bCs/>
                <w:color w:val="auto"/>
                <w:kern w:val="0"/>
                <w:sz w:val="21"/>
                <w:szCs w:val="21"/>
                <w:vertAlign w:val="baseline"/>
                <w:lang w:val="en-US" w:eastAsia="zh-CN" w:bidi="ar-SA"/>
              </w:rPr>
            </w:pPr>
            <w:r>
              <w:rPr>
                <w:rFonts w:hint="eastAsia" w:ascii="宋体" w:hAnsi="宋体" w:eastAsia="宋体" w:cs="宋体"/>
                <w:b/>
                <w:bCs/>
                <w:sz w:val="21"/>
                <w:szCs w:val="21"/>
              </w:rPr>
              <w:t>26</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bCs/>
                <w:color w:val="auto"/>
                <w:kern w:val="0"/>
                <w:sz w:val="21"/>
                <w:szCs w:val="21"/>
                <w:vertAlign w:val="baseline"/>
                <w:lang w:val="en-US" w:eastAsia="zh-CN" w:bidi="ar-SA"/>
              </w:rPr>
            </w:pPr>
            <w:r>
              <w:rPr>
                <w:rFonts w:hint="eastAsia" w:ascii="宋体" w:hAnsi="宋体" w:eastAsia="宋体" w:cs="宋体"/>
                <w:b/>
                <w:bCs/>
                <w:sz w:val="21"/>
                <w:szCs w:val="21"/>
              </w:rPr>
              <w:t>19</w:t>
            </w:r>
          </w:p>
        </w:tc>
        <w:tc>
          <w:tcPr>
            <w:tcW w:w="1517"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0" w:hRule="exact"/>
          <w:jc w:val="center"/>
        </w:trPr>
        <w:tc>
          <w:tcPr>
            <w:tcW w:w="56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1</w:t>
            </w:r>
          </w:p>
        </w:tc>
        <w:tc>
          <w:tcPr>
            <w:tcW w:w="418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人均地区生产总值及增速</w:t>
            </w:r>
          </w:p>
        </w:tc>
        <w:tc>
          <w:tcPr>
            <w:tcW w:w="59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正向</w:t>
            </w:r>
          </w:p>
        </w:tc>
        <w:tc>
          <w:tcPr>
            <w:tcW w:w="1246"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6</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7</w:t>
            </w:r>
          </w:p>
        </w:tc>
        <w:tc>
          <w:tcPr>
            <w:tcW w:w="1262"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0</w:t>
            </w:r>
          </w:p>
        </w:tc>
        <w:tc>
          <w:tcPr>
            <w:tcW w:w="1215"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4.5</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0</w:t>
            </w:r>
          </w:p>
        </w:tc>
        <w:tc>
          <w:tcPr>
            <w:tcW w:w="1517"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省统计局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0" w:hRule="exact"/>
          <w:jc w:val="center"/>
        </w:trPr>
        <w:tc>
          <w:tcPr>
            <w:tcW w:w="56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2</w:t>
            </w:r>
          </w:p>
        </w:tc>
        <w:tc>
          <w:tcPr>
            <w:tcW w:w="418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第一产业增加值及增速</w:t>
            </w:r>
          </w:p>
        </w:tc>
        <w:tc>
          <w:tcPr>
            <w:tcW w:w="59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正向</w:t>
            </w:r>
          </w:p>
        </w:tc>
        <w:tc>
          <w:tcPr>
            <w:tcW w:w="1246"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2</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2.5</w:t>
            </w:r>
          </w:p>
        </w:tc>
        <w:tc>
          <w:tcPr>
            <w:tcW w:w="1262"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10</w:t>
            </w:r>
          </w:p>
        </w:tc>
        <w:tc>
          <w:tcPr>
            <w:tcW w:w="1215"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2</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0</w:t>
            </w:r>
          </w:p>
        </w:tc>
        <w:tc>
          <w:tcPr>
            <w:tcW w:w="1517"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省统计局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0" w:hRule="exact"/>
          <w:jc w:val="center"/>
        </w:trPr>
        <w:tc>
          <w:tcPr>
            <w:tcW w:w="56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3</w:t>
            </w:r>
          </w:p>
        </w:tc>
        <w:tc>
          <w:tcPr>
            <w:tcW w:w="418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left"/>
              <w:textAlignment w:val="auto"/>
              <w:rPr>
                <w:rFonts w:hint="default"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规模以上工业增加值占GDP比重及变动情况</w:t>
            </w:r>
          </w:p>
        </w:tc>
        <w:tc>
          <w:tcPr>
            <w:tcW w:w="59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正向</w:t>
            </w:r>
          </w:p>
        </w:tc>
        <w:tc>
          <w:tcPr>
            <w:tcW w:w="1246"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3.5</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7.5</w:t>
            </w:r>
          </w:p>
        </w:tc>
        <w:tc>
          <w:tcPr>
            <w:tcW w:w="1262"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0</w:t>
            </w:r>
          </w:p>
        </w:tc>
        <w:tc>
          <w:tcPr>
            <w:tcW w:w="1215"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2</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0</w:t>
            </w:r>
          </w:p>
        </w:tc>
        <w:tc>
          <w:tcPr>
            <w:tcW w:w="1517"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省统计局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0" w:hRule="exact"/>
          <w:jc w:val="center"/>
        </w:trPr>
        <w:tc>
          <w:tcPr>
            <w:tcW w:w="56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4</w:t>
            </w:r>
          </w:p>
        </w:tc>
        <w:tc>
          <w:tcPr>
            <w:tcW w:w="418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第三产业增加值占GDP比重及变动情况</w:t>
            </w:r>
          </w:p>
        </w:tc>
        <w:tc>
          <w:tcPr>
            <w:tcW w:w="59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正向</w:t>
            </w:r>
          </w:p>
        </w:tc>
        <w:tc>
          <w:tcPr>
            <w:tcW w:w="1246"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7.5</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4.5</w:t>
            </w:r>
          </w:p>
        </w:tc>
        <w:tc>
          <w:tcPr>
            <w:tcW w:w="1262"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6</w:t>
            </w:r>
          </w:p>
        </w:tc>
        <w:tc>
          <w:tcPr>
            <w:tcW w:w="1215"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5.5</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6.5</w:t>
            </w:r>
          </w:p>
        </w:tc>
        <w:tc>
          <w:tcPr>
            <w:tcW w:w="1517"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省统计局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0" w:hRule="exact"/>
          <w:jc w:val="center"/>
        </w:trPr>
        <w:tc>
          <w:tcPr>
            <w:tcW w:w="56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5</w:t>
            </w:r>
          </w:p>
        </w:tc>
        <w:tc>
          <w:tcPr>
            <w:tcW w:w="418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固定资产投资总额及增速</w:t>
            </w:r>
          </w:p>
        </w:tc>
        <w:tc>
          <w:tcPr>
            <w:tcW w:w="59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正向</w:t>
            </w:r>
          </w:p>
        </w:tc>
        <w:tc>
          <w:tcPr>
            <w:tcW w:w="1246"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4.5</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5</w:t>
            </w:r>
          </w:p>
        </w:tc>
        <w:tc>
          <w:tcPr>
            <w:tcW w:w="1262"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0</w:t>
            </w:r>
          </w:p>
        </w:tc>
        <w:tc>
          <w:tcPr>
            <w:tcW w:w="1215"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4</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0</w:t>
            </w:r>
          </w:p>
        </w:tc>
        <w:tc>
          <w:tcPr>
            <w:tcW w:w="1517"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省统计局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0" w:hRule="exact"/>
          <w:jc w:val="center"/>
        </w:trPr>
        <w:tc>
          <w:tcPr>
            <w:tcW w:w="56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6</w:t>
            </w:r>
          </w:p>
        </w:tc>
        <w:tc>
          <w:tcPr>
            <w:tcW w:w="418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人均社会消费品零售额及增速</w:t>
            </w:r>
          </w:p>
        </w:tc>
        <w:tc>
          <w:tcPr>
            <w:tcW w:w="59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正向</w:t>
            </w:r>
          </w:p>
        </w:tc>
        <w:tc>
          <w:tcPr>
            <w:tcW w:w="1246"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4</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4</w:t>
            </w:r>
          </w:p>
        </w:tc>
        <w:tc>
          <w:tcPr>
            <w:tcW w:w="1262"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5</w:t>
            </w:r>
          </w:p>
        </w:tc>
        <w:tc>
          <w:tcPr>
            <w:tcW w:w="1215"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4</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6.5</w:t>
            </w:r>
          </w:p>
        </w:tc>
        <w:tc>
          <w:tcPr>
            <w:tcW w:w="1517"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省统计局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0" w:hRule="exact"/>
          <w:jc w:val="center"/>
        </w:trPr>
        <w:tc>
          <w:tcPr>
            <w:tcW w:w="56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7</w:t>
            </w:r>
          </w:p>
        </w:tc>
        <w:tc>
          <w:tcPr>
            <w:tcW w:w="418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left"/>
              <w:textAlignment w:val="auto"/>
              <w:rPr>
                <w:rFonts w:hint="default"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民营经济增加值占GDP比重及变动情况</w:t>
            </w:r>
          </w:p>
        </w:tc>
        <w:tc>
          <w:tcPr>
            <w:tcW w:w="59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正向</w:t>
            </w:r>
          </w:p>
        </w:tc>
        <w:tc>
          <w:tcPr>
            <w:tcW w:w="1246"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5.5</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4.5</w:t>
            </w:r>
          </w:p>
        </w:tc>
        <w:tc>
          <w:tcPr>
            <w:tcW w:w="1262"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7</w:t>
            </w:r>
          </w:p>
        </w:tc>
        <w:tc>
          <w:tcPr>
            <w:tcW w:w="1215"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4</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6</w:t>
            </w:r>
          </w:p>
        </w:tc>
        <w:tc>
          <w:tcPr>
            <w:tcW w:w="1517"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省统计局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0" w:hRule="exact"/>
          <w:jc w:val="center"/>
        </w:trPr>
        <w:tc>
          <w:tcPr>
            <w:tcW w:w="4756" w:type="dxa"/>
            <w:gridSpan w:val="2"/>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黑体" w:hAnsi="黑体" w:eastAsia="黑体" w:cs="黑体"/>
                <w:b w:val="0"/>
                <w:bCs w:val="0"/>
                <w:color w:val="auto"/>
                <w:kern w:val="0"/>
                <w:sz w:val="21"/>
                <w:szCs w:val="21"/>
                <w:vertAlign w:val="baseline"/>
                <w:lang w:val="en-US" w:eastAsia="zh-CN" w:bidi="ar-SA"/>
              </w:rPr>
              <w:t>二、创新驱动</w:t>
            </w:r>
          </w:p>
        </w:tc>
        <w:tc>
          <w:tcPr>
            <w:tcW w:w="59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val="0"/>
                <w:bCs w:val="0"/>
                <w:color w:val="auto"/>
                <w:kern w:val="0"/>
                <w:sz w:val="21"/>
                <w:szCs w:val="21"/>
                <w:vertAlign w:val="baseline"/>
                <w:lang w:val="en-US" w:eastAsia="zh-CN" w:bidi="ar-SA"/>
              </w:rPr>
            </w:pPr>
          </w:p>
        </w:tc>
        <w:tc>
          <w:tcPr>
            <w:tcW w:w="1246"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宋体" w:hAnsi="宋体" w:eastAsia="宋体" w:cs="宋体"/>
                <w:b/>
                <w:bCs/>
                <w:color w:val="auto"/>
                <w:kern w:val="0"/>
                <w:sz w:val="21"/>
                <w:szCs w:val="21"/>
                <w:vertAlign w:val="baseline"/>
                <w:lang w:val="en-US" w:eastAsia="zh-CN" w:bidi="ar-SA"/>
              </w:rPr>
            </w:pPr>
            <w:r>
              <w:rPr>
                <w:rFonts w:hint="eastAsia" w:hAnsi="宋体" w:cs="宋体"/>
                <w:b/>
                <w:bCs/>
                <w:color w:val="auto"/>
                <w:kern w:val="0"/>
                <w:sz w:val="21"/>
                <w:szCs w:val="21"/>
                <w:vertAlign w:val="baseline"/>
                <w:lang w:val="en-US" w:eastAsia="zh-CN" w:bidi="ar-SA"/>
              </w:rPr>
              <w:t>27</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宋体" w:hAnsi="宋体" w:eastAsia="宋体" w:cs="宋体"/>
                <w:b/>
                <w:bCs/>
                <w:color w:val="auto"/>
                <w:kern w:val="0"/>
                <w:sz w:val="21"/>
                <w:szCs w:val="21"/>
                <w:vertAlign w:val="baseline"/>
                <w:lang w:val="en-US" w:eastAsia="zh-CN" w:bidi="ar-SA"/>
              </w:rPr>
            </w:pPr>
            <w:r>
              <w:rPr>
                <w:rFonts w:hint="eastAsia" w:hAnsi="宋体" w:cs="宋体"/>
                <w:b/>
                <w:bCs/>
                <w:color w:val="auto"/>
                <w:kern w:val="0"/>
                <w:sz w:val="21"/>
                <w:szCs w:val="21"/>
                <w:vertAlign w:val="baseline"/>
                <w:lang w:val="en-US" w:eastAsia="zh-CN" w:bidi="ar-SA"/>
              </w:rPr>
              <w:t>28</w:t>
            </w:r>
          </w:p>
        </w:tc>
        <w:tc>
          <w:tcPr>
            <w:tcW w:w="1262"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宋体" w:hAnsi="宋体" w:eastAsia="宋体" w:cs="宋体"/>
                <w:b/>
                <w:bCs/>
                <w:color w:val="auto"/>
                <w:kern w:val="0"/>
                <w:sz w:val="21"/>
                <w:szCs w:val="21"/>
                <w:vertAlign w:val="baseline"/>
                <w:lang w:val="en-US" w:eastAsia="zh-CN" w:bidi="ar-SA"/>
              </w:rPr>
            </w:pPr>
            <w:r>
              <w:rPr>
                <w:rFonts w:hint="eastAsia" w:hAnsi="宋体" w:cs="宋体"/>
                <w:b/>
                <w:bCs/>
                <w:color w:val="auto"/>
                <w:kern w:val="0"/>
                <w:sz w:val="21"/>
                <w:szCs w:val="21"/>
                <w:vertAlign w:val="baseline"/>
                <w:lang w:val="en-US" w:eastAsia="zh-CN" w:bidi="ar-SA"/>
              </w:rPr>
              <w:t>25</w:t>
            </w:r>
          </w:p>
        </w:tc>
        <w:tc>
          <w:tcPr>
            <w:tcW w:w="1215"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宋体" w:hAnsi="宋体" w:eastAsia="宋体" w:cs="宋体"/>
                <w:b/>
                <w:bCs/>
                <w:color w:val="auto"/>
                <w:kern w:val="0"/>
                <w:sz w:val="21"/>
                <w:szCs w:val="21"/>
                <w:vertAlign w:val="baseline"/>
                <w:lang w:val="en-US" w:eastAsia="zh-CN" w:bidi="ar-SA"/>
              </w:rPr>
            </w:pPr>
            <w:r>
              <w:rPr>
                <w:rFonts w:hint="eastAsia" w:hAnsi="宋体" w:cs="宋体"/>
                <w:b/>
                <w:bCs/>
                <w:color w:val="auto"/>
                <w:kern w:val="0"/>
                <w:sz w:val="21"/>
                <w:szCs w:val="21"/>
                <w:vertAlign w:val="baseline"/>
                <w:lang w:val="en-US" w:eastAsia="zh-CN" w:bidi="ar-SA"/>
              </w:rPr>
              <w:t>27</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宋体" w:hAnsi="宋体" w:eastAsia="宋体" w:cs="宋体"/>
                <w:b/>
                <w:bCs/>
                <w:color w:val="auto"/>
                <w:kern w:val="0"/>
                <w:sz w:val="21"/>
                <w:szCs w:val="21"/>
                <w:vertAlign w:val="baseline"/>
                <w:lang w:val="en-US" w:eastAsia="zh-CN" w:bidi="ar-SA"/>
              </w:rPr>
            </w:pPr>
            <w:r>
              <w:rPr>
                <w:rFonts w:hint="eastAsia" w:hAnsi="宋体" w:cs="宋体"/>
                <w:b/>
                <w:bCs/>
                <w:color w:val="auto"/>
                <w:kern w:val="0"/>
                <w:sz w:val="21"/>
                <w:szCs w:val="21"/>
                <w:vertAlign w:val="baseline"/>
                <w:lang w:val="en-US" w:eastAsia="zh-CN" w:bidi="ar-SA"/>
              </w:rPr>
              <w:t>21</w:t>
            </w:r>
          </w:p>
        </w:tc>
        <w:tc>
          <w:tcPr>
            <w:tcW w:w="1517"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0" w:hRule="exact"/>
          <w:jc w:val="center"/>
        </w:trPr>
        <w:tc>
          <w:tcPr>
            <w:tcW w:w="56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8</w:t>
            </w:r>
          </w:p>
        </w:tc>
        <w:tc>
          <w:tcPr>
            <w:tcW w:w="418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科技创新指数</w:t>
            </w:r>
          </w:p>
        </w:tc>
        <w:tc>
          <w:tcPr>
            <w:tcW w:w="59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正向</w:t>
            </w:r>
          </w:p>
        </w:tc>
        <w:tc>
          <w:tcPr>
            <w:tcW w:w="1246"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10</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11</w:t>
            </w:r>
          </w:p>
        </w:tc>
        <w:tc>
          <w:tcPr>
            <w:tcW w:w="1262"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8.5</w:t>
            </w:r>
          </w:p>
        </w:tc>
        <w:tc>
          <w:tcPr>
            <w:tcW w:w="1215"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6.5</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6</w:t>
            </w:r>
          </w:p>
        </w:tc>
        <w:tc>
          <w:tcPr>
            <w:tcW w:w="1517"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0" w:hRule="exact"/>
          <w:jc w:val="center"/>
        </w:trPr>
        <w:tc>
          <w:tcPr>
            <w:tcW w:w="56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9</w:t>
            </w:r>
          </w:p>
        </w:tc>
        <w:tc>
          <w:tcPr>
            <w:tcW w:w="418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就业及社保综合指数</w:t>
            </w:r>
          </w:p>
        </w:tc>
        <w:tc>
          <w:tcPr>
            <w:tcW w:w="59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正向</w:t>
            </w:r>
          </w:p>
        </w:tc>
        <w:tc>
          <w:tcPr>
            <w:tcW w:w="1246"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6</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6</w:t>
            </w:r>
          </w:p>
        </w:tc>
        <w:tc>
          <w:tcPr>
            <w:tcW w:w="1262"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6</w:t>
            </w:r>
          </w:p>
        </w:tc>
        <w:tc>
          <w:tcPr>
            <w:tcW w:w="1215"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6</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5.5</w:t>
            </w:r>
          </w:p>
        </w:tc>
        <w:tc>
          <w:tcPr>
            <w:tcW w:w="1517"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宋体" w:hAnsi="宋体" w:eastAsia="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省人社厅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0" w:hRule="exact"/>
          <w:jc w:val="center"/>
        </w:trPr>
        <w:tc>
          <w:tcPr>
            <w:tcW w:w="56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10</w:t>
            </w:r>
          </w:p>
        </w:tc>
        <w:tc>
          <w:tcPr>
            <w:tcW w:w="418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招商引资资金到位率</w:t>
            </w:r>
          </w:p>
        </w:tc>
        <w:tc>
          <w:tcPr>
            <w:tcW w:w="59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正向</w:t>
            </w:r>
          </w:p>
        </w:tc>
        <w:tc>
          <w:tcPr>
            <w:tcW w:w="1246"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eastAsia" w:ascii="Times New Roman" w:hAnsi="Times New Roman" w:cs="Times New Roman"/>
                <w:b w:val="0"/>
                <w:bCs w:val="0"/>
                <w:color w:val="auto"/>
                <w:kern w:val="0"/>
                <w:sz w:val="21"/>
                <w:szCs w:val="21"/>
                <w:vertAlign w:val="baseline"/>
                <w:lang w:val="en-US" w:eastAsia="zh-CN" w:bidi="ar-SA"/>
              </w:rPr>
              <w:t>6</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eastAsia" w:ascii="Times New Roman" w:hAnsi="Times New Roman" w:cs="Times New Roman"/>
                <w:b w:val="0"/>
                <w:bCs w:val="0"/>
                <w:color w:val="auto"/>
                <w:kern w:val="0"/>
                <w:sz w:val="21"/>
                <w:szCs w:val="21"/>
                <w:vertAlign w:val="baseline"/>
                <w:lang w:val="en-US" w:eastAsia="zh-CN" w:bidi="ar-SA"/>
              </w:rPr>
              <w:t>7</w:t>
            </w:r>
          </w:p>
        </w:tc>
        <w:tc>
          <w:tcPr>
            <w:tcW w:w="1262"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eastAsia" w:ascii="Times New Roman" w:hAnsi="Times New Roman" w:cs="Times New Roman"/>
                <w:b w:val="0"/>
                <w:bCs w:val="0"/>
                <w:color w:val="auto"/>
                <w:kern w:val="0"/>
                <w:sz w:val="21"/>
                <w:szCs w:val="21"/>
                <w:vertAlign w:val="baseline"/>
                <w:lang w:val="en-US" w:eastAsia="zh-CN" w:bidi="ar-SA"/>
              </w:rPr>
              <w:t>6</w:t>
            </w:r>
          </w:p>
        </w:tc>
        <w:tc>
          <w:tcPr>
            <w:tcW w:w="1215"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eastAsia" w:ascii="Times New Roman" w:hAnsi="Times New Roman" w:cs="Times New Roman"/>
                <w:b w:val="0"/>
                <w:bCs w:val="0"/>
                <w:color w:val="auto"/>
                <w:kern w:val="0"/>
                <w:sz w:val="21"/>
                <w:szCs w:val="21"/>
                <w:vertAlign w:val="baseline"/>
                <w:lang w:val="en-US" w:eastAsia="zh-CN" w:bidi="ar-SA"/>
              </w:rPr>
              <w:t>6.5</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eastAsia" w:ascii="Times New Roman" w:hAnsi="Times New Roman" w:cs="Times New Roman"/>
                <w:b w:val="0"/>
                <w:bCs w:val="0"/>
                <w:color w:val="auto"/>
                <w:kern w:val="0"/>
                <w:sz w:val="21"/>
                <w:szCs w:val="21"/>
                <w:vertAlign w:val="baseline"/>
                <w:lang w:val="en-US" w:eastAsia="zh-CN" w:bidi="ar-SA"/>
              </w:rPr>
              <w:t>4.5</w:t>
            </w:r>
          </w:p>
        </w:tc>
        <w:tc>
          <w:tcPr>
            <w:tcW w:w="1517"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0" w:hRule="exact"/>
          <w:jc w:val="center"/>
        </w:trPr>
        <w:tc>
          <w:tcPr>
            <w:tcW w:w="56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11</w:t>
            </w:r>
          </w:p>
        </w:tc>
        <w:tc>
          <w:tcPr>
            <w:tcW w:w="418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旅游人数和收入增速</w:t>
            </w:r>
          </w:p>
        </w:tc>
        <w:tc>
          <w:tcPr>
            <w:tcW w:w="59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正向</w:t>
            </w:r>
          </w:p>
        </w:tc>
        <w:tc>
          <w:tcPr>
            <w:tcW w:w="1246"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eastAsia" w:ascii="Times New Roman" w:hAnsi="Times New Roman" w:cs="Times New Roman"/>
                <w:b w:val="0"/>
                <w:bCs w:val="0"/>
                <w:color w:val="auto"/>
                <w:kern w:val="0"/>
                <w:sz w:val="21"/>
                <w:szCs w:val="21"/>
                <w:vertAlign w:val="baseline"/>
                <w:lang w:val="en-US" w:eastAsia="zh-CN" w:bidi="ar-SA"/>
              </w:rPr>
              <w:t>5</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eastAsia" w:ascii="Times New Roman" w:hAnsi="Times New Roman" w:cs="Times New Roman"/>
                <w:b w:val="0"/>
                <w:bCs w:val="0"/>
                <w:color w:val="auto"/>
                <w:kern w:val="0"/>
                <w:sz w:val="21"/>
                <w:szCs w:val="21"/>
                <w:vertAlign w:val="baseline"/>
                <w:lang w:val="en-US" w:eastAsia="zh-CN" w:bidi="ar-SA"/>
              </w:rPr>
              <w:t>4</w:t>
            </w:r>
          </w:p>
        </w:tc>
        <w:tc>
          <w:tcPr>
            <w:tcW w:w="1262"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eastAsia" w:ascii="Times New Roman" w:hAnsi="Times New Roman" w:cs="Times New Roman"/>
                <w:b w:val="0"/>
                <w:bCs w:val="0"/>
                <w:color w:val="auto"/>
                <w:kern w:val="0"/>
                <w:sz w:val="21"/>
                <w:szCs w:val="21"/>
                <w:vertAlign w:val="baseline"/>
                <w:lang w:val="en-US" w:eastAsia="zh-CN" w:bidi="ar-SA"/>
              </w:rPr>
              <w:t>4.5</w:t>
            </w:r>
          </w:p>
        </w:tc>
        <w:tc>
          <w:tcPr>
            <w:tcW w:w="1215"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eastAsia" w:ascii="Times New Roman" w:hAnsi="Times New Roman" w:cs="Times New Roman"/>
                <w:b w:val="0"/>
                <w:bCs w:val="0"/>
                <w:color w:val="auto"/>
                <w:kern w:val="0"/>
                <w:sz w:val="21"/>
                <w:szCs w:val="21"/>
                <w:vertAlign w:val="baseline"/>
                <w:lang w:val="en-US" w:eastAsia="zh-CN" w:bidi="ar-SA"/>
              </w:rPr>
              <w:t>8</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eastAsia" w:ascii="Times New Roman" w:hAnsi="Times New Roman" w:cs="Times New Roman"/>
                <w:b w:val="0"/>
                <w:bCs w:val="0"/>
                <w:color w:val="auto"/>
                <w:kern w:val="0"/>
                <w:sz w:val="21"/>
                <w:szCs w:val="21"/>
                <w:vertAlign w:val="baseline"/>
                <w:lang w:val="en-US" w:eastAsia="zh-CN" w:bidi="ar-SA"/>
              </w:rPr>
              <w:t>5</w:t>
            </w:r>
          </w:p>
        </w:tc>
        <w:tc>
          <w:tcPr>
            <w:tcW w:w="1517"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省文旅厅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0" w:hRule="exact"/>
          <w:jc w:val="center"/>
        </w:trPr>
        <w:tc>
          <w:tcPr>
            <w:tcW w:w="4756" w:type="dxa"/>
            <w:gridSpan w:val="2"/>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黑体" w:hAnsi="黑体" w:eastAsia="黑体" w:cs="黑体"/>
                <w:b w:val="0"/>
                <w:bCs w:val="0"/>
                <w:color w:val="auto"/>
                <w:kern w:val="0"/>
                <w:sz w:val="21"/>
                <w:szCs w:val="21"/>
                <w:vertAlign w:val="baseline"/>
                <w:lang w:val="en-US" w:eastAsia="zh-CN" w:bidi="ar-SA"/>
              </w:rPr>
              <w:t>三、城乡融合</w:t>
            </w:r>
          </w:p>
        </w:tc>
        <w:tc>
          <w:tcPr>
            <w:tcW w:w="59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p>
        </w:tc>
        <w:tc>
          <w:tcPr>
            <w:tcW w:w="1246"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bCs/>
                <w:color w:val="auto"/>
                <w:kern w:val="0"/>
                <w:sz w:val="21"/>
                <w:szCs w:val="21"/>
                <w:vertAlign w:val="baseline"/>
                <w:lang w:val="en-US" w:eastAsia="zh-CN" w:bidi="ar-SA"/>
              </w:rPr>
            </w:pPr>
            <w:r>
              <w:rPr>
                <w:rFonts w:hint="eastAsia" w:ascii="Times New Roman" w:hAnsi="Times New Roman" w:cs="Times New Roman"/>
                <w:b/>
                <w:bCs/>
                <w:color w:val="auto"/>
                <w:kern w:val="0"/>
                <w:sz w:val="21"/>
                <w:szCs w:val="21"/>
                <w:vertAlign w:val="baseline"/>
                <w:lang w:val="en-US" w:eastAsia="zh-CN" w:bidi="ar-SA"/>
              </w:rPr>
              <w:t>18</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bCs/>
                <w:color w:val="auto"/>
                <w:kern w:val="0"/>
                <w:sz w:val="21"/>
                <w:szCs w:val="21"/>
                <w:vertAlign w:val="baseline"/>
                <w:lang w:val="en-US" w:eastAsia="zh-CN" w:bidi="ar-SA"/>
              </w:rPr>
            </w:pPr>
            <w:r>
              <w:rPr>
                <w:rFonts w:hint="eastAsia" w:ascii="Times New Roman" w:hAnsi="Times New Roman" w:cs="Times New Roman"/>
                <w:b/>
                <w:bCs/>
                <w:color w:val="auto"/>
                <w:kern w:val="0"/>
                <w:sz w:val="21"/>
                <w:szCs w:val="21"/>
                <w:vertAlign w:val="baseline"/>
                <w:lang w:val="en-US" w:eastAsia="zh-CN" w:bidi="ar-SA"/>
              </w:rPr>
              <w:t>16</w:t>
            </w:r>
          </w:p>
        </w:tc>
        <w:tc>
          <w:tcPr>
            <w:tcW w:w="1262"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bCs/>
                <w:color w:val="auto"/>
                <w:kern w:val="0"/>
                <w:sz w:val="21"/>
                <w:szCs w:val="21"/>
                <w:vertAlign w:val="baseline"/>
                <w:lang w:val="en-US" w:eastAsia="zh-CN" w:bidi="ar-SA"/>
              </w:rPr>
            </w:pPr>
            <w:r>
              <w:rPr>
                <w:rFonts w:hint="eastAsia" w:ascii="Times New Roman" w:hAnsi="Times New Roman" w:cs="Times New Roman"/>
                <w:b/>
                <w:bCs/>
                <w:color w:val="auto"/>
                <w:kern w:val="0"/>
                <w:sz w:val="21"/>
                <w:szCs w:val="21"/>
                <w:vertAlign w:val="baseline"/>
                <w:lang w:val="en-US" w:eastAsia="zh-CN" w:bidi="ar-SA"/>
              </w:rPr>
              <w:t>20</w:t>
            </w:r>
          </w:p>
        </w:tc>
        <w:tc>
          <w:tcPr>
            <w:tcW w:w="1215"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bCs/>
                <w:color w:val="auto"/>
                <w:kern w:val="0"/>
                <w:sz w:val="21"/>
                <w:szCs w:val="21"/>
                <w:vertAlign w:val="baseline"/>
                <w:lang w:val="en-US" w:eastAsia="zh-CN" w:bidi="ar-SA"/>
              </w:rPr>
            </w:pPr>
            <w:r>
              <w:rPr>
                <w:rFonts w:hint="eastAsia" w:ascii="Times New Roman" w:hAnsi="Times New Roman" w:cs="Times New Roman"/>
                <w:b/>
                <w:bCs/>
                <w:color w:val="auto"/>
                <w:kern w:val="0"/>
                <w:sz w:val="21"/>
                <w:szCs w:val="21"/>
                <w:vertAlign w:val="baseline"/>
                <w:lang w:val="en-US" w:eastAsia="zh-CN" w:bidi="ar-SA"/>
              </w:rPr>
              <w:t>19</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bCs/>
                <w:color w:val="auto"/>
                <w:kern w:val="0"/>
                <w:sz w:val="21"/>
                <w:szCs w:val="21"/>
                <w:vertAlign w:val="baseline"/>
                <w:lang w:val="en-US" w:eastAsia="zh-CN" w:bidi="ar-SA"/>
              </w:rPr>
            </w:pPr>
            <w:r>
              <w:rPr>
                <w:rFonts w:hint="eastAsia" w:ascii="Times New Roman" w:hAnsi="Times New Roman" w:cs="Times New Roman"/>
                <w:b/>
                <w:bCs/>
                <w:color w:val="auto"/>
                <w:kern w:val="0"/>
                <w:sz w:val="21"/>
                <w:szCs w:val="21"/>
                <w:vertAlign w:val="baseline"/>
                <w:lang w:val="en-US" w:eastAsia="zh-CN" w:bidi="ar-SA"/>
              </w:rPr>
              <w:t>17</w:t>
            </w:r>
          </w:p>
        </w:tc>
        <w:tc>
          <w:tcPr>
            <w:tcW w:w="1517"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0" w:hRule="exact"/>
          <w:jc w:val="center"/>
        </w:trPr>
        <w:tc>
          <w:tcPr>
            <w:tcW w:w="56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12</w:t>
            </w:r>
          </w:p>
        </w:tc>
        <w:tc>
          <w:tcPr>
            <w:tcW w:w="418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常住人口城镇化率</w:t>
            </w:r>
          </w:p>
        </w:tc>
        <w:tc>
          <w:tcPr>
            <w:tcW w:w="59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正向</w:t>
            </w:r>
          </w:p>
        </w:tc>
        <w:tc>
          <w:tcPr>
            <w:tcW w:w="1246"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8</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7.5</w:t>
            </w:r>
          </w:p>
        </w:tc>
        <w:tc>
          <w:tcPr>
            <w:tcW w:w="1262"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0</w:t>
            </w:r>
          </w:p>
        </w:tc>
        <w:tc>
          <w:tcPr>
            <w:tcW w:w="1215"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7.5</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0</w:t>
            </w:r>
          </w:p>
        </w:tc>
        <w:tc>
          <w:tcPr>
            <w:tcW w:w="1517"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省统计局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0" w:hRule="exact"/>
          <w:jc w:val="center"/>
        </w:trPr>
        <w:tc>
          <w:tcPr>
            <w:tcW w:w="56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13</w:t>
            </w:r>
          </w:p>
        </w:tc>
        <w:tc>
          <w:tcPr>
            <w:tcW w:w="418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城镇居民人均可支配收入及增速</w:t>
            </w:r>
          </w:p>
        </w:tc>
        <w:tc>
          <w:tcPr>
            <w:tcW w:w="59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正向</w:t>
            </w:r>
          </w:p>
        </w:tc>
        <w:tc>
          <w:tcPr>
            <w:tcW w:w="1246"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5</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4.5</w:t>
            </w:r>
          </w:p>
        </w:tc>
        <w:tc>
          <w:tcPr>
            <w:tcW w:w="1262"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9</w:t>
            </w:r>
          </w:p>
        </w:tc>
        <w:tc>
          <w:tcPr>
            <w:tcW w:w="1215"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5</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8</w:t>
            </w:r>
          </w:p>
        </w:tc>
        <w:tc>
          <w:tcPr>
            <w:tcW w:w="1517"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甘肃调查总队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0" w:hRule="exact"/>
          <w:jc w:val="center"/>
        </w:trPr>
        <w:tc>
          <w:tcPr>
            <w:tcW w:w="56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14</w:t>
            </w:r>
          </w:p>
        </w:tc>
        <w:tc>
          <w:tcPr>
            <w:tcW w:w="418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农村居民人均可支配收入及增速</w:t>
            </w:r>
          </w:p>
        </w:tc>
        <w:tc>
          <w:tcPr>
            <w:tcW w:w="59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正向</w:t>
            </w:r>
          </w:p>
        </w:tc>
        <w:tc>
          <w:tcPr>
            <w:tcW w:w="1246"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5</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4</w:t>
            </w:r>
          </w:p>
        </w:tc>
        <w:tc>
          <w:tcPr>
            <w:tcW w:w="1262"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11</w:t>
            </w:r>
          </w:p>
        </w:tc>
        <w:tc>
          <w:tcPr>
            <w:tcW w:w="1215"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6.5</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9</w:t>
            </w:r>
          </w:p>
        </w:tc>
        <w:tc>
          <w:tcPr>
            <w:tcW w:w="1517"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甘肃调查总队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0" w:hRule="exact"/>
          <w:jc w:val="center"/>
        </w:trPr>
        <w:tc>
          <w:tcPr>
            <w:tcW w:w="4756" w:type="dxa"/>
            <w:gridSpan w:val="2"/>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黑体" w:hAnsi="黑体" w:eastAsia="黑体" w:cs="黑体"/>
                <w:b w:val="0"/>
                <w:bCs w:val="0"/>
                <w:color w:val="auto"/>
                <w:kern w:val="0"/>
                <w:sz w:val="21"/>
                <w:szCs w:val="21"/>
                <w:vertAlign w:val="baseline"/>
                <w:lang w:val="en-US" w:eastAsia="zh-CN" w:bidi="ar-SA"/>
              </w:rPr>
            </w:pPr>
            <w:r>
              <w:rPr>
                <w:rFonts w:hint="eastAsia" w:ascii="黑体" w:hAnsi="黑体" w:eastAsia="黑体" w:cs="黑体"/>
                <w:b w:val="0"/>
                <w:bCs w:val="0"/>
                <w:color w:val="auto"/>
                <w:kern w:val="0"/>
                <w:sz w:val="21"/>
                <w:szCs w:val="21"/>
                <w:vertAlign w:val="baseline"/>
                <w:lang w:val="en-US" w:eastAsia="zh-CN" w:bidi="ar-SA"/>
              </w:rPr>
              <w:t>四、绿色生态</w:t>
            </w:r>
          </w:p>
        </w:tc>
        <w:tc>
          <w:tcPr>
            <w:tcW w:w="59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p>
        </w:tc>
        <w:tc>
          <w:tcPr>
            <w:tcW w:w="1246"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bCs/>
                <w:color w:val="auto"/>
                <w:kern w:val="0"/>
                <w:sz w:val="21"/>
                <w:szCs w:val="21"/>
                <w:vertAlign w:val="baseline"/>
                <w:lang w:val="en-US" w:eastAsia="zh-CN" w:bidi="ar-SA"/>
              </w:rPr>
            </w:pPr>
            <w:r>
              <w:rPr>
                <w:rFonts w:hint="eastAsia" w:ascii="Times New Roman" w:hAnsi="Times New Roman" w:cs="Times New Roman"/>
                <w:b/>
                <w:bCs/>
                <w:color w:val="auto"/>
                <w:kern w:val="0"/>
                <w:sz w:val="21"/>
                <w:szCs w:val="21"/>
                <w:vertAlign w:val="baseline"/>
                <w:lang w:val="en-US" w:eastAsia="zh-CN" w:bidi="ar-SA"/>
              </w:rPr>
              <w:t>22</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bCs/>
                <w:color w:val="auto"/>
                <w:kern w:val="0"/>
                <w:sz w:val="21"/>
                <w:szCs w:val="21"/>
                <w:vertAlign w:val="baseline"/>
                <w:lang w:val="en-US" w:eastAsia="zh-CN" w:bidi="ar-SA"/>
              </w:rPr>
            </w:pPr>
            <w:r>
              <w:rPr>
                <w:rFonts w:hint="eastAsia" w:ascii="Times New Roman" w:hAnsi="Times New Roman" w:cs="Times New Roman"/>
                <w:b/>
                <w:bCs/>
                <w:color w:val="auto"/>
                <w:kern w:val="0"/>
                <w:sz w:val="21"/>
                <w:szCs w:val="21"/>
                <w:vertAlign w:val="baseline"/>
                <w:lang w:val="en-US" w:eastAsia="zh-CN" w:bidi="ar-SA"/>
              </w:rPr>
              <w:t>21</w:t>
            </w:r>
          </w:p>
        </w:tc>
        <w:tc>
          <w:tcPr>
            <w:tcW w:w="1262"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bCs/>
                <w:color w:val="auto"/>
                <w:kern w:val="0"/>
                <w:sz w:val="21"/>
                <w:szCs w:val="21"/>
                <w:vertAlign w:val="baseline"/>
                <w:lang w:val="en-US" w:eastAsia="zh-CN" w:bidi="ar-SA"/>
              </w:rPr>
            </w:pPr>
            <w:r>
              <w:rPr>
                <w:rFonts w:hint="eastAsia" w:ascii="Times New Roman" w:hAnsi="Times New Roman" w:cs="Times New Roman"/>
                <w:b/>
                <w:bCs/>
                <w:color w:val="auto"/>
                <w:kern w:val="0"/>
                <w:sz w:val="21"/>
                <w:szCs w:val="21"/>
                <w:vertAlign w:val="baseline"/>
                <w:lang w:val="en-US" w:eastAsia="zh-CN" w:bidi="ar-SA"/>
              </w:rPr>
              <w:t>27</w:t>
            </w:r>
          </w:p>
        </w:tc>
        <w:tc>
          <w:tcPr>
            <w:tcW w:w="1215"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bCs/>
                <w:color w:val="auto"/>
                <w:kern w:val="0"/>
                <w:sz w:val="21"/>
                <w:szCs w:val="21"/>
                <w:vertAlign w:val="baseline"/>
                <w:lang w:val="en-US" w:eastAsia="zh-CN" w:bidi="ar-SA"/>
              </w:rPr>
            </w:pPr>
            <w:r>
              <w:rPr>
                <w:rFonts w:hint="eastAsia" w:ascii="Times New Roman" w:hAnsi="Times New Roman" w:cs="Times New Roman"/>
                <w:b/>
                <w:bCs/>
                <w:color w:val="auto"/>
                <w:kern w:val="0"/>
                <w:sz w:val="21"/>
                <w:szCs w:val="21"/>
                <w:vertAlign w:val="baseline"/>
                <w:lang w:val="en-US" w:eastAsia="zh-CN" w:bidi="ar-SA"/>
              </w:rPr>
              <w:t>28</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bCs/>
                <w:color w:val="auto"/>
                <w:kern w:val="0"/>
                <w:sz w:val="21"/>
                <w:szCs w:val="21"/>
                <w:vertAlign w:val="baseline"/>
                <w:lang w:val="en-US" w:eastAsia="zh-CN" w:bidi="ar-SA"/>
              </w:rPr>
            </w:pPr>
            <w:r>
              <w:rPr>
                <w:rFonts w:hint="eastAsia" w:ascii="Times New Roman" w:hAnsi="Times New Roman" w:cs="Times New Roman"/>
                <w:b/>
                <w:bCs/>
                <w:color w:val="auto"/>
                <w:kern w:val="0"/>
                <w:sz w:val="21"/>
                <w:szCs w:val="21"/>
                <w:vertAlign w:val="baseline"/>
                <w:lang w:val="en-US" w:eastAsia="zh-CN" w:bidi="ar-SA"/>
              </w:rPr>
              <w:t>43</w:t>
            </w:r>
          </w:p>
        </w:tc>
        <w:tc>
          <w:tcPr>
            <w:tcW w:w="1517"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0" w:hRule="exact"/>
          <w:jc w:val="center"/>
        </w:trPr>
        <w:tc>
          <w:tcPr>
            <w:tcW w:w="56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15</w:t>
            </w:r>
          </w:p>
        </w:tc>
        <w:tc>
          <w:tcPr>
            <w:tcW w:w="418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空气质量改善率</w:t>
            </w:r>
          </w:p>
        </w:tc>
        <w:tc>
          <w:tcPr>
            <w:tcW w:w="59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正向</w:t>
            </w:r>
          </w:p>
        </w:tc>
        <w:tc>
          <w:tcPr>
            <w:tcW w:w="1246"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3</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2.5</w:t>
            </w:r>
          </w:p>
        </w:tc>
        <w:tc>
          <w:tcPr>
            <w:tcW w:w="1262"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3.5</w:t>
            </w:r>
          </w:p>
        </w:tc>
        <w:tc>
          <w:tcPr>
            <w:tcW w:w="1215"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4</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7</w:t>
            </w:r>
          </w:p>
        </w:tc>
        <w:tc>
          <w:tcPr>
            <w:tcW w:w="1517"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0" w:hRule="exact"/>
          <w:jc w:val="center"/>
        </w:trPr>
        <w:tc>
          <w:tcPr>
            <w:tcW w:w="56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16</w:t>
            </w:r>
          </w:p>
        </w:tc>
        <w:tc>
          <w:tcPr>
            <w:tcW w:w="418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水环境质量达标率</w:t>
            </w:r>
          </w:p>
        </w:tc>
        <w:tc>
          <w:tcPr>
            <w:tcW w:w="59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正向</w:t>
            </w:r>
          </w:p>
        </w:tc>
        <w:tc>
          <w:tcPr>
            <w:tcW w:w="1246"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3</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3</w:t>
            </w:r>
          </w:p>
        </w:tc>
        <w:tc>
          <w:tcPr>
            <w:tcW w:w="1262"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4</w:t>
            </w:r>
          </w:p>
        </w:tc>
        <w:tc>
          <w:tcPr>
            <w:tcW w:w="1215"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4.5</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7</w:t>
            </w:r>
          </w:p>
        </w:tc>
        <w:tc>
          <w:tcPr>
            <w:tcW w:w="1517"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rightChars="0" w:firstLine="0" w:firstLineChars="0"/>
              <w:jc w:val="center"/>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0" w:hRule="exact"/>
          <w:jc w:val="center"/>
        </w:trPr>
        <w:tc>
          <w:tcPr>
            <w:tcW w:w="56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17</w:t>
            </w:r>
          </w:p>
        </w:tc>
        <w:tc>
          <w:tcPr>
            <w:tcW w:w="418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left"/>
              <w:textAlignment w:val="auto"/>
              <w:rPr>
                <w:rFonts w:hint="default"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万元GDP能耗降低率</w:t>
            </w:r>
          </w:p>
        </w:tc>
        <w:tc>
          <w:tcPr>
            <w:tcW w:w="59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正向</w:t>
            </w:r>
          </w:p>
        </w:tc>
        <w:tc>
          <w:tcPr>
            <w:tcW w:w="1246"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3.5</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3.5</w:t>
            </w:r>
          </w:p>
        </w:tc>
        <w:tc>
          <w:tcPr>
            <w:tcW w:w="1262"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3.5</w:t>
            </w:r>
          </w:p>
        </w:tc>
        <w:tc>
          <w:tcPr>
            <w:tcW w:w="1215"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3.5</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5</w:t>
            </w:r>
          </w:p>
        </w:tc>
        <w:tc>
          <w:tcPr>
            <w:tcW w:w="1517"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省统计局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0" w:hRule="exact"/>
          <w:jc w:val="center"/>
        </w:trPr>
        <w:tc>
          <w:tcPr>
            <w:tcW w:w="56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18</w:t>
            </w:r>
          </w:p>
        </w:tc>
        <w:tc>
          <w:tcPr>
            <w:tcW w:w="418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left"/>
              <w:textAlignment w:val="auto"/>
              <w:rPr>
                <w:rFonts w:hint="default"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万元GDP用水量</w:t>
            </w:r>
          </w:p>
        </w:tc>
        <w:tc>
          <w:tcPr>
            <w:tcW w:w="59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正向</w:t>
            </w:r>
          </w:p>
        </w:tc>
        <w:tc>
          <w:tcPr>
            <w:tcW w:w="1246"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3.5</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3.5</w:t>
            </w:r>
          </w:p>
        </w:tc>
        <w:tc>
          <w:tcPr>
            <w:tcW w:w="1262"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5</w:t>
            </w:r>
          </w:p>
        </w:tc>
        <w:tc>
          <w:tcPr>
            <w:tcW w:w="1215"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4</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6</w:t>
            </w:r>
          </w:p>
        </w:tc>
        <w:tc>
          <w:tcPr>
            <w:tcW w:w="1517"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0" w:hRule="exact"/>
          <w:jc w:val="center"/>
        </w:trPr>
        <w:tc>
          <w:tcPr>
            <w:tcW w:w="56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19</w:t>
            </w:r>
          </w:p>
        </w:tc>
        <w:tc>
          <w:tcPr>
            <w:tcW w:w="418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城乡生活垃圾处理率</w:t>
            </w:r>
          </w:p>
        </w:tc>
        <w:tc>
          <w:tcPr>
            <w:tcW w:w="59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正向</w:t>
            </w:r>
          </w:p>
        </w:tc>
        <w:tc>
          <w:tcPr>
            <w:tcW w:w="1246"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2.5</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2.5</w:t>
            </w:r>
          </w:p>
        </w:tc>
        <w:tc>
          <w:tcPr>
            <w:tcW w:w="1262"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4</w:t>
            </w:r>
          </w:p>
        </w:tc>
        <w:tc>
          <w:tcPr>
            <w:tcW w:w="1215"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4</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6</w:t>
            </w:r>
          </w:p>
        </w:tc>
        <w:tc>
          <w:tcPr>
            <w:tcW w:w="1517"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0" w:hRule="exact"/>
          <w:jc w:val="center"/>
        </w:trPr>
        <w:tc>
          <w:tcPr>
            <w:tcW w:w="56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20</w:t>
            </w:r>
          </w:p>
        </w:tc>
        <w:tc>
          <w:tcPr>
            <w:tcW w:w="418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城市（县城）污水处理率</w:t>
            </w:r>
          </w:p>
        </w:tc>
        <w:tc>
          <w:tcPr>
            <w:tcW w:w="59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正向</w:t>
            </w:r>
          </w:p>
        </w:tc>
        <w:tc>
          <w:tcPr>
            <w:tcW w:w="1246"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2.5</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2.5</w:t>
            </w:r>
          </w:p>
        </w:tc>
        <w:tc>
          <w:tcPr>
            <w:tcW w:w="1262"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3</w:t>
            </w:r>
          </w:p>
        </w:tc>
        <w:tc>
          <w:tcPr>
            <w:tcW w:w="1215"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3</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5</w:t>
            </w:r>
          </w:p>
        </w:tc>
        <w:tc>
          <w:tcPr>
            <w:tcW w:w="1517"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0" w:hRule="exact"/>
          <w:jc w:val="center"/>
        </w:trPr>
        <w:tc>
          <w:tcPr>
            <w:tcW w:w="56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21</w:t>
            </w:r>
          </w:p>
        </w:tc>
        <w:tc>
          <w:tcPr>
            <w:tcW w:w="418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公众生态环境满意度</w:t>
            </w:r>
          </w:p>
        </w:tc>
        <w:tc>
          <w:tcPr>
            <w:tcW w:w="59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正向</w:t>
            </w:r>
          </w:p>
        </w:tc>
        <w:tc>
          <w:tcPr>
            <w:tcW w:w="1246"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eastAsia" w:ascii="Times New Roman" w:hAnsi="Times New Roman" w:cs="Times New Roman"/>
                <w:b w:val="0"/>
                <w:bCs w:val="0"/>
                <w:color w:val="auto"/>
                <w:kern w:val="0"/>
                <w:sz w:val="21"/>
                <w:szCs w:val="21"/>
                <w:vertAlign w:val="baseline"/>
                <w:lang w:val="en-US" w:eastAsia="zh-CN" w:bidi="ar-SA"/>
              </w:rPr>
              <w:t>4</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eastAsia" w:ascii="Times New Roman" w:hAnsi="Times New Roman" w:cs="Times New Roman"/>
                <w:b w:val="0"/>
                <w:bCs w:val="0"/>
                <w:color w:val="auto"/>
                <w:kern w:val="0"/>
                <w:sz w:val="21"/>
                <w:szCs w:val="21"/>
                <w:vertAlign w:val="baseline"/>
                <w:lang w:val="en-US" w:eastAsia="zh-CN" w:bidi="ar-SA"/>
              </w:rPr>
              <w:t>3.5</w:t>
            </w:r>
          </w:p>
        </w:tc>
        <w:tc>
          <w:tcPr>
            <w:tcW w:w="1262"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eastAsia" w:ascii="Times New Roman" w:hAnsi="Times New Roman" w:cs="Times New Roman"/>
                <w:b w:val="0"/>
                <w:bCs w:val="0"/>
                <w:color w:val="auto"/>
                <w:kern w:val="0"/>
                <w:sz w:val="21"/>
                <w:szCs w:val="21"/>
                <w:vertAlign w:val="baseline"/>
                <w:lang w:val="en-US" w:eastAsia="zh-CN" w:bidi="ar-SA"/>
              </w:rPr>
              <w:t>4</w:t>
            </w:r>
          </w:p>
        </w:tc>
        <w:tc>
          <w:tcPr>
            <w:tcW w:w="1215"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eastAsia" w:ascii="Times New Roman" w:hAnsi="Times New Roman" w:cs="Times New Roman"/>
                <w:b w:val="0"/>
                <w:bCs w:val="0"/>
                <w:color w:val="auto"/>
                <w:kern w:val="0"/>
                <w:sz w:val="21"/>
                <w:szCs w:val="21"/>
                <w:vertAlign w:val="baseline"/>
                <w:lang w:val="en-US" w:eastAsia="zh-CN" w:bidi="ar-SA"/>
              </w:rPr>
              <w:t>5</w:t>
            </w:r>
          </w:p>
        </w:tc>
        <w:tc>
          <w:tcPr>
            <w:tcW w:w="1231"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eastAsia" w:ascii="Times New Roman" w:hAnsi="Times New Roman" w:cs="Times New Roman"/>
                <w:b w:val="0"/>
                <w:bCs w:val="0"/>
                <w:color w:val="auto"/>
                <w:kern w:val="0"/>
                <w:sz w:val="21"/>
                <w:szCs w:val="21"/>
                <w:vertAlign w:val="baseline"/>
                <w:lang w:val="en-US" w:eastAsia="zh-CN" w:bidi="ar-SA"/>
              </w:rPr>
              <w:t>7</w:t>
            </w:r>
          </w:p>
        </w:tc>
        <w:tc>
          <w:tcPr>
            <w:tcW w:w="1517"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省统计局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0" w:hRule="exact"/>
          <w:jc w:val="center"/>
        </w:trPr>
        <w:tc>
          <w:tcPr>
            <w:tcW w:w="4756" w:type="dxa"/>
            <w:gridSpan w:val="2"/>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ascii="黑体" w:hAnsi="黑体" w:eastAsia="黑体" w:cs="黑体"/>
                <w:b w:val="0"/>
                <w:bCs w:val="0"/>
                <w:color w:val="auto"/>
                <w:kern w:val="0"/>
                <w:sz w:val="21"/>
                <w:szCs w:val="21"/>
                <w:vertAlign w:val="baseline"/>
                <w:lang w:val="en-US" w:eastAsia="zh-CN" w:bidi="ar-SA"/>
              </w:rPr>
            </w:pPr>
            <w:r>
              <w:rPr>
                <w:rFonts w:hint="eastAsia" w:ascii="黑体" w:hAnsi="黑体" w:eastAsia="黑体" w:cs="黑体"/>
                <w:b w:val="0"/>
                <w:bCs w:val="0"/>
                <w:color w:val="auto"/>
                <w:kern w:val="0"/>
                <w:sz w:val="21"/>
                <w:szCs w:val="21"/>
                <w:vertAlign w:val="baseline"/>
                <w:lang w:val="en-US" w:eastAsia="zh-CN" w:bidi="ar-SA"/>
              </w:rPr>
              <w:t>五、风险防控</w:t>
            </w:r>
          </w:p>
        </w:tc>
        <w:tc>
          <w:tcPr>
            <w:tcW w:w="59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p>
        </w:tc>
        <w:tc>
          <w:tcPr>
            <w:tcW w:w="6185" w:type="dxa"/>
            <w:gridSpan w:val="5"/>
            <w:vMerge w:val="restart"/>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both"/>
              <w:textAlignment w:val="auto"/>
              <w:rPr>
                <w:rFonts w:hint="default" w:ascii="Times New Roman" w:hAnsi="Times New Roman" w:cs="Times New Roman"/>
                <w:b w:val="0"/>
                <w:bCs w:val="0"/>
                <w:color w:val="auto"/>
                <w:kern w:val="0"/>
                <w:sz w:val="21"/>
                <w:szCs w:val="21"/>
                <w:vertAlign w:val="baseline"/>
                <w:lang w:val="en-US" w:eastAsia="zh-CN" w:bidi="ar-SA"/>
              </w:rPr>
            </w:pPr>
            <w:r>
              <w:rPr>
                <w:rFonts w:hint="eastAsia" w:ascii="Times New Roman" w:hAnsi="Times New Roman" w:cs="Times New Roman"/>
                <w:b w:val="0"/>
                <w:bCs w:val="0"/>
                <w:color w:val="auto"/>
                <w:kern w:val="0"/>
                <w:sz w:val="21"/>
                <w:szCs w:val="21"/>
                <w:vertAlign w:val="baseline"/>
                <w:lang w:val="en-US" w:eastAsia="zh-CN" w:bidi="ar-SA"/>
              </w:rPr>
              <w:t>风险防控四项指标均为减分项，其中发生重大生产安全责任事故的县扣4分，发生重大及以上突发环境事件扣4份，对债务风险管控不力的县扣2份，对银行业保险业重大金融风险防范化解不力的县扣3分。</w:t>
            </w:r>
          </w:p>
        </w:tc>
        <w:tc>
          <w:tcPr>
            <w:tcW w:w="1517"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0" w:hRule="exact"/>
          <w:jc w:val="center"/>
        </w:trPr>
        <w:tc>
          <w:tcPr>
            <w:tcW w:w="56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22</w:t>
            </w:r>
          </w:p>
        </w:tc>
        <w:tc>
          <w:tcPr>
            <w:tcW w:w="418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重大生产安全责任事故</w:t>
            </w:r>
          </w:p>
        </w:tc>
        <w:tc>
          <w:tcPr>
            <w:tcW w:w="59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逆向</w:t>
            </w:r>
          </w:p>
        </w:tc>
        <w:tc>
          <w:tcPr>
            <w:tcW w:w="6185" w:type="dxa"/>
            <w:gridSpan w:val="5"/>
            <w:vMerge w:val="continue"/>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both"/>
              <w:textAlignment w:val="auto"/>
              <w:rPr>
                <w:rFonts w:hint="default" w:ascii="Times New Roman" w:hAnsi="Times New Roman" w:cs="Times New Roman"/>
                <w:b w:val="0"/>
                <w:bCs w:val="0"/>
                <w:color w:val="auto"/>
                <w:kern w:val="0"/>
                <w:sz w:val="21"/>
                <w:szCs w:val="21"/>
                <w:vertAlign w:val="baseline"/>
                <w:lang w:val="en-US" w:eastAsia="zh-CN" w:bidi="ar-SA"/>
              </w:rPr>
            </w:pPr>
          </w:p>
        </w:tc>
        <w:tc>
          <w:tcPr>
            <w:tcW w:w="1517"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省应急厅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0" w:hRule="exact"/>
          <w:jc w:val="center"/>
        </w:trPr>
        <w:tc>
          <w:tcPr>
            <w:tcW w:w="56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23</w:t>
            </w:r>
          </w:p>
        </w:tc>
        <w:tc>
          <w:tcPr>
            <w:tcW w:w="418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重大及以上突发环境事件</w:t>
            </w:r>
          </w:p>
        </w:tc>
        <w:tc>
          <w:tcPr>
            <w:tcW w:w="59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逆向</w:t>
            </w:r>
          </w:p>
        </w:tc>
        <w:tc>
          <w:tcPr>
            <w:tcW w:w="6185" w:type="dxa"/>
            <w:gridSpan w:val="5"/>
            <w:vMerge w:val="continue"/>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p>
        </w:tc>
        <w:tc>
          <w:tcPr>
            <w:tcW w:w="1517"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0" w:hRule="exact"/>
          <w:jc w:val="center"/>
        </w:trPr>
        <w:tc>
          <w:tcPr>
            <w:tcW w:w="56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24</w:t>
            </w:r>
          </w:p>
        </w:tc>
        <w:tc>
          <w:tcPr>
            <w:tcW w:w="418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政府债务风险管控</w:t>
            </w:r>
          </w:p>
        </w:tc>
        <w:tc>
          <w:tcPr>
            <w:tcW w:w="59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逆向</w:t>
            </w:r>
          </w:p>
        </w:tc>
        <w:tc>
          <w:tcPr>
            <w:tcW w:w="6185" w:type="dxa"/>
            <w:gridSpan w:val="5"/>
            <w:vMerge w:val="continue"/>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p>
        </w:tc>
        <w:tc>
          <w:tcPr>
            <w:tcW w:w="1517"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30" w:hRule="exact"/>
          <w:jc w:val="center"/>
        </w:trPr>
        <w:tc>
          <w:tcPr>
            <w:tcW w:w="56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25</w:t>
            </w:r>
          </w:p>
        </w:tc>
        <w:tc>
          <w:tcPr>
            <w:tcW w:w="418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left"/>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银行业保险业重大金融风险防范化解</w:t>
            </w:r>
          </w:p>
        </w:tc>
        <w:tc>
          <w:tcPr>
            <w:tcW w:w="598"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逆向</w:t>
            </w:r>
          </w:p>
        </w:tc>
        <w:tc>
          <w:tcPr>
            <w:tcW w:w="6185" w:type="dxa"/>
            <w:gridSpan w:val="5"/>
            <w:vMerge w:val="continue"/>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cs="Times New Roman"/>
                <w:b w:val="0"/>
                <w:bCs w:val="0"/>
                <w:color w:val="auto"/>
                <w:kern w:val="0"/>
                <w:sz w:val="21"/>
                <w:szCs w:val="21"/>
                <w:vertAlign w:val="baseline"/>
                <w:lang w:val="en-US" w:eastAsia="zh-CN" w:bidi="ar-SA"/>
              </w:rPr>
            </w:pPr>
          </w:p>
        </w:tc>
        <w:tc>
          <w:tcPr>
            <w:tcW w:w="1517" w:type="dxa"/>
            <w:noWrap w:val="0"/>
            <w:vAlign w:val="center"/>
          </w:tcPr>
          <w:p>
            <w:pPr>
              <w:pStyle w:val="5"/>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240" w:lineRule="auto"/>
              <w:ind w:right="0" w:firstLine="0" w:firstLineChars="0"/>
              <w:jc w:val="center"/>
              <w:textAlignment w:val="auto"/>
              <w:rPr>
                <w:rFonts w:hint="eastAsia" w:hAnsi="宋体" w:cs="宋体"/>
                <w:b w:val="0"/>
                <w:bCs w:val="0"/>
                <w:color w:val="auto"/>
                <w:kern w:val="0"/>
                <w:sz w:val="21"/>
                <w:szCs w:val="21"/>
                <w:vertAlign w:val="baseline"/>
                <w:lang w:val="en-US" w:eastAsia="zh-CN" w:bidi="ar-SA"/>
              </w:rPr>
            </w:pPr>
            <w:r>
              <w:rPr>
                <w:rFonts w:hint="eastAsia" w:hAnsi="宋体" w:cs="宋体"/>
                <w:b w:val="0"/>
                <w:bCs w:val="0"/>
                <w:color w:val="auto"/>
                <w:kern w:val="0"/>
                <w:sz w:val="21"/>
                <w:szCs w:val="21"/>
                <w:vertAlign w:val="baseline"/>
                <w:lang w:val="en-US" w:eastAsia="zh-CN" w:bidi="ar-SA"/>
              </w:rPr>
              <w:t>甘肃银保监局</w:t>
            </w:r>
          </w:p>
        </w:tc>
      </w:tr>
    </w:tbl>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240" w:lineRule="auto"/>
        <w:ind w:left="0" w:right="0" w:firstLine="0" w:firstLineChars="0"/>
        <w:jc w:val="both"/>
        <w:textAlignment w:val="auto"/>
        <w:rPr>
          <w:rFonts w:hint="eastAsia" w:ascii="Times New Roman" w:hAnsi="Times New Roman" w:eastAsia="仿宋_GB2312" w:cs="Times New Roman"/>
          <w:b w:val="0"/>
          <w:bCs w:val="0"/>
          <w:color w:val="auto"/>
          <w:kern w:val="0"/>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240" w:lineRule="auto"/>
        <w:ind w:left="0" w:right="0" w:firstLine="0" w:firstLineChars="0"/>
        <w:jc w:val="both"/>
        <w:textAlignment w:val="auto"/>
        <w:rPr>
          <w:rFonts w:hint="eastAsia" w:ascii="Times New Roman" w:hAnsi="Times New Roman" w:eastAsia="仿宋_GB2312" w:cs="Times New Roman"/>
          <w:b w:val="0"/>
          <w:bCs w:val="0"/>
          <w:color w:val="auto"/>
          <w:kern w:val="0"/>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240" w:lineRule="auto"/>
        <w:ind w:left="0" w:right="0" w:firstLine="0" w:firstLineChars="0"/>
        <w:jc w:val="both"/>
        <w:textAlignment w:val="auto"/>
        <w:rPr>
          <w:rFonts w:hint="eastAsia" w:ascii="Times New Roman" w:hAnsi="Times New Roman" w:eastAsia="仿宋_GB2312" w:cs="Times New Roman"/>
          <w:b w:val="0"/>
          <w:bCs w:val="0"/>
          <w:color w:val="auto"/>
          <w:kern w:val="0"/>
          <w:sz w:val="32"/>
          <w:szCs w:val="32"/>
          <w:lang w:val="en-US" w:eastAsia="zh-CN" w:bidi="ar-SA"/>
        </w:rPr>
        <w:sectPr>
          <w:pgSz w:w="16838" w:h="11906" w:orient="landscape"/>
          <w:pgMar w:top="1531" w:right="1928" w:bottom="1531" w:left="1814" w:header="851" w:footer="1247" w:gutter="0"/>
          <w:pgBorders>
            <w:top w:val="none" w:sz="0" w:space="0"/>
            <w:left w:val="none" w:sz="0" w:space="0"/>
            <w:bottom w:val="none" w:sz="0" w:space="0"/>
            <w:right w:val="none" w:sz="0" w:space="0"/>
          </w:pgBorders>
          <w:pgNumType w:fmt="decimal"/>
          <w:cols w:space="720" w:num="1"/>
          <w:rtlGutter w:val="0"/>
          <w:docGrid w:linePitch="442" w:charSpace="0"/>
        </w:sect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leftChars="0" w:right="0" w:firstLine="0" w:firstLineChars="0"/>
        <w:jc w:val="both"/>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附件2</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leftChars="0" w:right="0" w:firstLine="0" w:firstLineChars="0"/>
        <w:jc w:val="both"/>
        <w:textAlignment w:val="auto"/>
        <w:rPr>
          <w:rFonts w:hint="eastAsia" w:ascii="Times New Roman" w:hAnsi="Times New Roman" w:eastAsia="仿宋_GB2312" w:cs="Times New Roman"/>
          <w:b w:val="0"/>
          <w:bCs w:val="0"/>
          <w:color w:val="auto"/>
          <w:kern w:val="0"/>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auto"/>
          <w:kern w:val="0"/>
          <w:sz w:val="38"/>
          <w:szCs w:val="38"/>
          <w:lang w:val="en-US" w:eastAsia="zh-CN" w:bidi="ar-SA"/>
        </w:rPr>
      </w:pPr>
      <w:r>
        <w:rPr>
          <w:rFonts w:hint="eastAsia" w:ascii="方正小标宋简体" w:hAnsi="方正小标宋简体" w:eastAsia="方正小标宋简体" w:cs="方正小标宋简体"/>
          <w:b w:val="0"/>
          <w:bCs w:val="0"/>
          <w:color w:val="auto"/>
          <w:kern w:val="0"/>
          <w:sz w:val="38"/>
          <w:szCs w:val="38"/>
          <w:lang w:val="en-US" w:eastAsia="zh-CN" w:bidi="ar-SA"/>
        </w:rPr>
        <w:t>甘肃省县域经济发展综合评价考核指标说明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1.人均地区生产总值及增速。人均地区生产总值，指一定时期内地区生产总值与同期常住平均人口的比值。人均地区生产总值增速=（本年不变价人均地区生产总值/上年不变价人均地区生产总值－1）×100%。</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spacing w:val="0"/>
          <w:kern w:val="0"/>
          <w:sz w:val="32"/>
          <w:szCs w:val="32"/>
          <w:lang w:val="en-US" w:eastAsia="zh-CN" w:bidi="ar-SA"/>
        </w:rPr>
      </w:pPr>
      <w:r>
        <w:rPr>
          <w:rFonts w:hint="eastAsia" w:ascii="Times New Roman" w:hAnsi="Times New Roman" w:eastAsia="仿宋_GB2312" w:cs="Times New Roman"/>
          <w:b w:val="0"/>
          <w:bCs w:val="0"/>
          <w:color w:val="auto"/>
          <w:spacing w:val="0"/>
          <w:kern w:val="0"/>
          <w:sz w:val="32"/>
          <w:szCs w:val="32"/>
          <w:lang w:val="en-US" w:eastAsia="zh-CN" w:bidi="ar-SA"/>
        </w:rPr>
        <w:t>2.第一产业增加值及增速。第一产业增加值，指农、林、牧、渔业（不含农、林、牧、渔服务业）的常住单位报告期内生产活动创造的新增价值。第一产业增加值增速=〔本年第一产业增加值（不变价）/上年第一产业增加值（不变价）</w:t>
      </w:r>
      <w:r>
        <w:rPr>
          <w:rFonts w:hint="eastAsia" w:ascii="Times New Roman" w:hAnsi="Times New Roman" w:eastAsia="仿宋_GB2312" w:cs="Times New Roman"/>
          <w:b w:val="0"/>
          <w:bCs w:val="0"/>
          <w:color w:val="auto"/>
          <w:kern w:val="0"/>
          <w:sz w:val="32"/>
          <w:szCs w:val="32"/>
          <w:lang w:val="en-US" w:eastAsia="zh-CN" w:bidi="ar-SA"/>
        </w:rPr>
        <w:t>－</w:t>
      </w:r>
      <w:r>
        <w:rPr>
          <w:rFonts w:hint="eastAsia" w:ascii="Times New Roman" w:hAnsi="Times New Roman" w:eastAsia="仿宋_GB2312" w:cs="Times New Roman"/>
          <w:b w:val="0"/>
          <w:bCs w:val="0"/>
          <w:color w:val="auto"/>
          <w:spacing w:val="0"/>
          <w:kern w:val="0"/>
          <w:sz w:val="32"/>
          <w:szCs w:val="32"/>
          <w:lang w:val="en-US" w:eastAsia="zh-CN" w:bidi="ar-SA"/>
        </w:rPr>
        <w:t>1〕×100%。</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3.规模以上工业增加值占GDP比重及变动情况。规模以上工业增加值占GDP比重，指一定时期内规模以上工业增加值占同期地区生产总值的比重。规模以上工业增加值占GDP比重变动情况，指与上一年相比，本年度规模以上工业增加值占GDP比重上升或下降的幅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4.第三产业增加值占GDP比重及变动情况。第三产业增加值占GDP比重，指一定时期内第三产业增加值占同期地区生产总值的比重。第三产业增加值占GDP比重变动情况，指与上一年相比，本年度第三产业增加值占GDP比重上升或下降的幅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5.固定资产投资总额及增速。固定资产投资总额，指城镇和农村各种登记注册类型的企业、事业、行政单位及城镇个体户进行的计划总投资500万元及500万元以上的建设项目投资和房地产开发投资的总量。固定资产投资增速=（本年固定资产投资总额/上年固定资产投资总额－1）×100%。</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6.人均社会消费品零售额及增速。人均社会消费品零售额，指一定时期内社会消费品零售总额与同期常住平均人口的比值。人均社会消费品零售额增速=（本年人均社会消费品零售额/上年人均社会消费品零售额－1）×100%。</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7.民营经济增加值占GDP比重及变动情况。民营经济增加值占GDP比重，指一定时期内民营经济增加值占同期地区生产总值的比重。民营经济增加值占GDP比重变动情况，指与上一年相比，本年度民营经济增加值占GDP比重上升或下降的幅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8.科技创新指数。指根据地方财政科技支出占财政支出的比重（%）、万人输出技术成交额（万元）、万人专利授权量（件）3个二级指标加权计算得到的综合评价值。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（1）将各二级指标除以相应的评价标准，得到二级指标的评价值，即为二级指标相应的指数。计算公式为：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fldChar w:fldCharType="begin"/>
      </w:r>
      <w:r>
        <w:rPr>
          <w:rFonts w:hint="eastAsia" w:ascii="Times New Roman" w:hAnsi="Times New Roman" w:eastAsia="仿宋_GB2312" w:cs="Times New Roman"/>
          <w:b w:val="0"/>
          <w:bCs w:val="0"/>
          <w:color w:val="auto"/>
          <w:kern w:val="0"/>
          <w:sz w:val="32"/>
          <w:szCs w:val="32"/>
          <w:lang w:val="en-US" w:eastAsia="zh-CN" w:bidi="ar-SA"/>
        </w:rPr>
        <w:instrText xml:space="preserve">INCLUDEPICTURE \d "http://www.gansu.gov.cn/gsszf/c100055/202106/1547874/images/f6266c0191c748bbbdf472a97ecaf3c3.png" \* MERGEFORMATINET </w:instrText>
      </w:r>
      <w:r>
        <w:rPr>
          <w:rFonts w:hint="eastAsia" w:ascii="Times New Roman" w:hAnsi="Times New Roman" w:eastAsia="仿宋_GB2312" w:cs="Times New Roman"/>
          <w:b w:val="0"/>
          <w:bCs w:val="0"/>
          <w:color w:val="auto"/>
          <w:kern w:val="0"/>
          <w:sz w:val="32"/>
          <w:szCs w:val="32"/>
          <w:lang w:val="en-US" w:eastAsia="zh-CN" w:bidi="ar-SA"/>
        </w:rPr>
        <w:fldChar w:fldCharType="separate"/>
      </w:r>
      <w:r>
        <w:rPr>
          <w:rFonts w:hint="eastAsia" w:ascii="Times New Roman" w:hAnsi="Times New Roman" w:eastAsia="仿宋_GB2312" w:cs="Times New Roman"/>
          <w:b w:val="0"/>
          <w:bCs w:val="0"/>
          <w:color w:val="auto"/>
          <w:kern w:val="0"/>
          <w:sz w:val="32"/>
          <w:szCs w:val="32"/>
          <w:lang w:val="en-US" w:eastAsia="zh-CN" w:bidi="ar-SA"/>
        </w:rPr>
        <w:drawing>
          <wp:inline distT="0" distB="0" distL="114300" distR="114300">
            <wp:extent cx="1847850" cy="6096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8"/>
                    <a:stretch>
                      <a:fillRect/>
                    </a:stretch>
                  </pic:blipFill>
                  <pic:spPr>
                    <a:xfrm>
                      <a:off x="0" y="0"/>
                      <a:ext cx="1847850" cy="609600"/>
                    </a:xfrm>
                    <a:prstGeom prst="rect">
                      <a:avLst/>
                    </a:prstGeom>
                    <a:noFill/>
                    <a:ln>
                      <a:noFill/>
                    </a:ln>
                  </pic:spPr>
                </pic:pic>
              </a:graphicData>
            </a:graphic>
          </wp:inline>
        </w:drawing>
      </w:r>
      <w:r>
        <w:rPr>
          <w:rFonts w:hint="eastAsia" w:ascii="Times New Roman" w:hAnsi="Times New Roman" w:eastAsia="仿宋_GB2312" w:cs="Times New Roman"/>
          <w:b w:val="0"/>
          <w:bCs w:val="0"/>
          <w:color w:val="auto"/>
          <w:kern w:val="0"/>
          <w:sz w:val="32"/>
          <w:szCs w:val="32"/>
          <w:lang w:val="en-US" w:eastAsia="zh-CN" w:bidi="ar-SA"/>
        </w:rPr>
        <w:fldChar w:fldCharType="end"/>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其中：x</w:t>
      </w:r>
      <w:r>
        <w:rPr>
          <w:rFonts w:hint="eastAsia" w:ascii="Times New Roman" w:hAnsi="Times New Roman" w:eastAsia="仿宋_GB2312" w:cs="Times New Roman"/>
          <w:b w:val="0"/>
          <w:bCs w:val="0"/>
          <w:color w:val="auto"/>
          <w:kern w:val="0"/>
          <w:sz w:val="32"/>
          <w:szCs w:val="32"/>
          <w:vertAlign w:val="subscript"/>
          <w:lang w:val="en-US" w:eastAsia="zh-CN" w:bidi="ar-SA"/>
        </w:rPr>
        <w:t>i</w:t>
      </w:r>
      <w:r>
        <w:rPr>
          <w:rFonts w:hint="eastAsia" w:ascii="Times New Roman" w:hAnsi="Times New Roman" w:eastAsia="仿宋_GB2312" w:cs="Times New Roman"/>
          <w:b w:val="0"/>
          <w:bCs w:val="0"/>
          <w:color w:val="auto"/>
          <w:kern w:val="0"/>
          <w:sz w:val="32"/>
          <w:szCs w:val="32"/>
          <w:lang w:val="en-US" w:eastAsia="zh-CN" w:bidi="ar-SA"/>
        </w:rPr>
        <w:t>为第i个二级指标；x</w:t>
      </w:r>
      <w:r>
        <w:rPr>
          <w:rFonts w:hint="eastAsia" w:ascii="Times New Roman" w:hAnsi="Times New Roman" w:eastAsia="仿宋_GB2312" w:cs="Times New Roman"/>
          <w:b w:val="0"/>
          <w:bCs w:val="0"/>
          <w:color w:val="auto"/>
          <w:kern w:val="0"/>
          <w:sz w:val="32"/>
          <w:szCs w:val="32"/>
          <w:vertAlign w:val="subscript"/>
          <w:lang w:val="en-US" w:eastAsia="zh-CN" w:bidi="ar-SA"/>
        </w:rPr>
        <w:t>ki</w:t>
      </w:r>
      <w:r>
        <w:rPr>
          <w:rFonts w:hint="eastAsia" w:ascii="Times New Roman" w:hAnsi="Times New Roman" w:eastAsia="仿宋_GB2312" w:cs="Times New Roman"/>
          <w:b w:val="0"/>
          <w:bCs w:val="0"/>
          <w:color w:val="auto"/>
          <w:kern w:val="0"/>
          <w:sz w:val="32"/>
          <w:szCs w:val="32"/>
          <w:lang w:val="en-US" w:eastAsia="zh-CN" w:bidi="ar-SA"/>
        </w:rPr>
        <w:t>为第i个二级指标相应的标准值；当d</w:t>
      </w:r>
      <w:r>
        <w:rPr>
          <w:rFonts w:hint="eastAsia" w:ascii="Times New Roman" w:hAnsi="Times New Roman" w:eastAsia="仿宋_GB2312" w:cs="Times New Roman"/>
          <w:b w:val="0"/>
          <w:bCs w:val="0"/>
          <w:color w:val="auto"/>
          <w:kern w:val="0"/>
          <w:sz w:val="32"/>
          <w:szCs w:val="32"/>
          <w:vertAlign w:val="subscript"/>
          <w:lang w:val="en-US" w:eastAsia="zh-CN" w:bidi="ar-SA"/>
        </w:rPr>
        <w:t>i</w:t>
      </w:r>
      <w:r>
        <w:rPr>
          <w:rFonts w:hint="eastAsia" w:ascii="Times New Roman" w:hAnsi="Times New Roman" w:eastAsia="仿宋_GB2312" w:cs="Times New Roman"/>
          <w:b w:val="0"/>
          <w:bCs w:val="0"/>
          <w:color w:val="auto"/>
          <w:kern w:val="0"/>
          <w:sz w:val="32"/>
          <w:szCs w:val="32"/>
          <w:lang w:val="en-US" w:eastAsia="zh-CN" w:bidi="ar-SA"/>
        </w:rPr>
        <w:t>≥100时，取100为其上限值。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（2）科技创新指数由二级指标加权综合而成。计算公式为：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fldChar w:fldCharType="begin"/>
      </w:r>
      <w:r>
        <w:rPr>
          <w:rFonts w:hint="eastAsia" w:ascii="Times New Roman" w:hAnsi="Times New Roman" w:eastAsia="仿宋_GB2312" w:cs="Times New Roman"/>
          <w:b w:val="0"/>
          <w:bCs w:val="0"/>
          <w:color w:val="auto"/>
          <w:kern w:val="0"/>
          <w:sz w:val="32"/>
          <w:szCs w:val="32"/>
          <w:lang w:val="en-US" w:eastAsia="zh-CN" w:bidi="ar-SA"/>
        </w:rPr>
        <w:instrText xml:space="preserve">INCLUDEPICTURE \d "http://www.gansu.gov.cn/gsszf/c100055/202106/1547874/images/a165444f3e1e4dfeaff269763209954d.png" \* MERGEFORMATINET </w:instrText>
      </w:r>
      <w:r>
        <w:rPr>
          <w:rFonts w:hint="eastAsia" w:ascii="Times New Roman" w:hAnsi="Times New Roman" w:eastAsia="仿宋_GB2312" w:cs="Times New Roman"/>
          <w:b w:val="0"/>
          <w:bCs w:val="0"/>
          <w:color w:val="auto"/>
          <w:kern w:val="0"/>
          <w:sz w:val="32"/>
          <w:szCs w:val="32"/>
          <w:lang w:val="en-US" w:eastAsia="zh-CN" w:bidi="ar-SA"/>
        </w:rPr>
        <w:fldChar w:fldCharType="separate"/>
      </w:r>
      <w:r>
        <w:rPr>
          <w:rFonts w:hint="eastAsia" w:ascii="Times New Roman" w:hAnsi="Times New Roman" w:eastAsia="仿宋_GB2312" w:cs="Times New Roman"/>
          <w:b w:val="0"/>
          <w:bCs w:val="0"/>
          <w:color w:val="auto"/>
          <w:kern w:val="0"/>
          <w:sz w:val="32"/>
          <w:szCs w:val="32"/>
          <w:lang w:val="en-US" w:eastAsia="zh-CN" w:bidi="ar-SA"/>
        </w:rPr>
        <w:drawing>
          <wp:inline distT="0" distB="0" distL="114300" distR="114300">
            <wp:extent cx="1295400" cy="552450"/>
            <wp:effectExtent l="0" t="0" r="0" b="0"/>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9"/>
                    <a:stretch>
                      <a:fillRect/>
                    </a:stretch>
                  </pic:blipFill>
                  <pic:spPr>
                    <a:xfrm>
                      <a:off x="0" y="0"/>
                      <a:ext cx="1295400" cy="552450"/>
                    </a:xfrm>
                    <a:prstGeom prst="rect">
                      <a:avLst/>
                    </a:prstGeom>
                    <a:noFill/>
                    <a:ln>
                      <a:noFill/>
                    </a:ln>
                  </pic:spPr>
                </pic:pic>
              </a:graphicData>
            </a:graphic>
          </wp:inline>
        </w:drawing>
      </w:r>
      <w:r>
        <w:rPr>
          <w:rFonts w:hint="eastAsia" w:ascii="Times New Roman" w:hAnsi="Times New Roman" w:eastAsia="仿宋_GB2312" w:cs="Times New Roman"/>
          <w:b w:val="0"/>
          <w:bCs w:val="0"/>
          <w:color w:val="auto"/>
          <w:kern w:val="0"/>
          <w:sz w:val="32"/>
          <w:szCs w:val="32"/>
          <w:lang w:val="en-US" w:eastAsia="zh-CN" w:bidi="ar-SA"/>
        </w:rPr>
        <w:fldChar w:fldCharType="end"/>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其中：w</w:t>
      </w:r>
      <w:r>
        <w:rPr>
          <w:rFonts w:hint="eastAsia" w:ascii="Times New Roman" w:hAnsi="Times New Roman" w:eastAsia="仿宋_GB2312" w:cs="Times New Roman"/>
          <w:b w:val="0"/>
          <w:bCs w:val="0"/>
          <w:color w:val="auto"/>
          <w:kern w:val="0"/>
          <w:sz w:val="32"/>
          <w:szCs w:val="32"/>
          <w:vertAlign w:val="subscript"/>
          <w:lang w:val="en-US" w:eastAsia="zh-CN" w:bidi="ar-SA"/>
        </w:rPr>
        <w:t>i</w:t>
      </w:r>
      <w:r>
        <w:rPr>
          <w:rFonts w:hint="eastAsia" w:ascii="Times New Roman" w:hAnsi="Times New Roman" w:eastAsia="仿宋_GB2312" w:cs="Times New Roman"/>
          <w:b w:val="0"/>
          <w:bCs w:val="0"/>
          <w:color w:val="auto"/>
          <w:kern w:val="0"/>
          <w:sz w:val="32"/>
          <w:szCs w:val="32"/>
          <w:lang w:val="en-US" w:eastAsia="zh-CN" w:bidi="ar-SA"/>
        </w:rPr>
        <w:t>为第i个二级指标相应的权重；n为二级指标个数。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9.就业及社保综合指数。指城镇新增就业人数、劳务输转人数及劳务收入、职业技能培训人次数、工伤保险参保人数、失业保险参保人数和工程建设领域在建工程项目保障农民工工资支付五项制度6个二级指标完成情况和拖欠农民工工资重大案件情况综合平均而成。其中：城镇新增就业人数等6项指标完成目标任务即得满分，否则按完成比例扣减；拖欠农民工工资重大案件，发生任意一起，扣减该项指标的分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1）城镇新增就业人数：指报告期内城镇累计新就业人数减去累计自然减员人数。其中，城镇累计新就业人数指报告期内城镇累计新就业的城镇各类单位、私营企业和个体经济组织、社区公益性岗位就业人员和各种灵活形式就业人员的总和；自然减员人数指报告期内因退休、伤亡等自然原因造成的城镇累计减少的就业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（2）劳务输转人数：指输出和转移的劳动力人数。其中，输出指跨地（市州）、跨省、跨国；输转指县域内就近就地转移；劳务收入指外出务工获得的劳动报酬（含务工期间个人消费部分）。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3）职业技能培训人次数（由三部分构成）：就业技能培训人次数指当年参加职业技能培训的人次数、岗位技能提升培训人次数指与企业签订6个月以上期限劳动合同的在岗职工及创业培训人次数指当年参加创业能力（syb）培训的人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（4）工伤保险参保人数：指报告期末参加工伤保险的职工人数和有雇工的个体工商户的雇工数。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（5）失业保险参保人数：指报告期末城镇企业、事业单位职工参加失业保险的人数按地方规定参加失业保险的其他人员人数之和。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6）工程建设领域在建工程项目保障农民工工资支付五项制度：指工程建设领域在建工程项目总承包单位代发工资、农民工实名制管理、工资保证金、农民工工资专用账户管理、劳动合同签订五项制度覆盖率达到100%。</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（7）拖欠农民工工资重大案件：指当年发生因拖欠农民工工资引发50人以上群体性事件或极端事件的案件。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10.招商引资资金到位率。指当年招商引资签约项目到位资金情况。计算公式为：招商引资资金到位率=当年签约招商引资项目到位资金额/当年签约招商引资项目总额×100%。</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11.旅游人数和收入增速。指各县旅游接待人数增速和旅游业综合收入增速。计算公式为：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fldChar w:fldCharType="begin"/>
      </w:r>
      <w:r>
        <w:rPr>
          <w:rFonts w:hint="eastAsia" w:ascii="Times New Roman" w:hAnsi="Times New Roman" w:eastAsia="仿宋_GB2312" w:cs="Times New Roman"/>
          <w:b w:val="0"/>
          <w:bCs w:val="0"/>
          <w:color w:val="auto"/>
          <w:kern w:val="0"/>
          <w:sz w:val="32"/>
          <w:szCs w:val="32"/>
          <w:lang w:val="en-US" w:eastAsia="zh-CN" w:bidi="ar-SA"/>
        </w:rPr>
        <w:instrText xml:space="preserve">INCLUDEPICTURE \d "http://www.gansu.gov.cn/gsszf/c100055/202106/1547874/images/330dc2a7f229486d901afa80448b309b.png" \* MERGEFORMATINET </w:instrText>
      </w:r>
      <w:r>
        <w:rPr>
          <w:rFonts w:hint="eastAsia" w:ascii="Times New Roman" w:hAnsi="Times New Roman" w:eastAsia="仿宋_GB2312" w:cs="Times New Roman"/>
          <w:b w:val="0"/>
          <w:bCs w:val="0"/>
          <w:color w:val="auto"/>
          <w:kern w:val="0"/>
          <w:sz w:val="32"/>
          <w:szCs w:val="32"/>
          <w:lang w:val="en-US" w:eastAsia="zh-CN" w:bidi="ar-SA"/>
        </w:rPr>
        <w:fldChar w:fldCharType="separate"/>
      </w:r>
      <w:r>
        <w:rPr>
          <w:rFonts w:hint="eastAsia" w:ascii="Times New Roman" w:hAnsi="Times New Roman" w:eastAsia="仿宋_GB2312" w:cs="Times New Roman"/>
          <w:b w:val="0"/>
          <w:bCs w:val="0"/>
          <w:color w:val="auto"/>
          <w:kern w:val="0"/>
          <w:sz w:val="32"/>
          <w:szCs w:val="32"/>
          <w:lang w:val="en-US" w:eastAsia="zh-CN" w:bidi="ar-SA"/>
        </w:rPr>
        <w:drawing>
          <wp:inline distT="0" distB="0" distL="114300" distR="114300">
            <wp:extent cx="4752975" cy="628015"/>
            <wp:effectExtent l="0" t="0" r="9525" b="635"/>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10"/>
                    <a:stretch>
                      <a:fillRect/>
                    </a:stretch>
                  </pic:blipFill>
                  <pic:spPr>
                    <a:xfrm>
                      <a:off x="0" y="0"/>
                      <a:ext cx="4752975" cy="628015"/>
                    </a:xfrm>
                    <a:prstGeom prst="rect">
                      <a:avLst/>
                    </a:prstGeom>
                    <a:noFill/>
                    <a:ln>
                      <a:noFill/>
                    </a:ln>
                  </pic:spPr>
                </pic:pic>
              </a:graphicData>
            </a:graphic>
          </wp:inline>
        </w:drawing>
      </w:r>
      <w:r>
        <w:rPr>
          <w:rFonts w:hint="eastAsia" w:ascii="Times New Roman" w:hAnsi="Times New Roman" w:eastAsia="仿宋_GB2312" w:cs="Times New Roman"/>
          <w:b w:val="0"/>
          <w:bCs w:val="0"/>
          <w:color w:val="auto"/>
          <w:kern w:val="0"/>
          <w:sz w:val="32"/>
          <w:szCs w:val="32"/>
          <w:lang w:val="en-US" w:eastAsia="zh-CN" w:bidi="ar-SA"/>
        </w:rPr>
        <w:fldChar w:fldCharType="end"/>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其中，x、y分别为全省旅游接待人数增速和旅游综合收入增速，x</w:t>
      </w:r>
      <w:r>
        <w:rPr>
          <w:rFonts w:hint="eastAsia" w:ascii="Times New Roman" w:hAnsi="Times New Roman" w:eastAsia="仿宋_GB2312" w:cs="Times New Roman"/>
          <w:b w:val="0"/>
          <w:bCs w:val="0"/>
          <w:color w:val="auto"/>
          <w:kern w:val="0"/>
          <w:sz w:val="32"/>
          <w:szCs w:val="32"/>
          <w:vertAlign w:val="subscript"/>
          <w:lang w:val="en-US" w:eastAsia="zh-CN" w:bidi="ar-SA"/>
        </w:rPr>
        <w:t>i</w:t>
      </w:r>
      <w:r>
        <w:rPr>
          <w:rFonts w:hint="eastAsia" w:ascii="Times New Roman" w:hAnsi="Times New Roman" w:eastAsia="仿宋_GB2312" w:cs="Times New Roman"/>
          <w:b w:val="0"/>
          <w:bCs w:val="0"/>
          <w:color w:val="auto"/>
          <w:kern w:val="0"/>
          <w:sz w:val="32"/>
          <w:szCs w:val="32"/>
          <w:lang w:val="en-US" w:eastAsia="zh-CN" w:bidi="ar-SA"/>
        </w:rPr>
        <w:t>、y</w:t>
      </w:r>
      <w:r>
        <w:rPr>
          <w:rFonts w:hint="eastAsia" w:ascii="Times New Roman" w:hAnsi="Times New Roman" w:eastAsia="仿宋_GB2312" w:cs="Times New Roman"/>
          <w:b w:val="0"/>
          <w:bCs w:val="0"/>
          <w:color w:val="auto"/>
          <w:kern w:val="0"/>
          <w:sz w:val="32"/>
          <w:szCs w:val="32"/>
          <w:vertAlign w:val="subscript"/>
          <w:lang w:val="en-US" w:eastAsia="zh-CN" w:bidi="ar-SA"/>
        </w:rPr>
        <w:t>i</w:t>
      </w:r>
      <w:r>
        <w:rPr>
          <w:rFonts w:hint="eastAsia" w:ascii="Times New Roman" w:hAnsi="Times New Roman" w:eastAsia="仿宋_GB2312" w:cs="Times New Roman"/>
          <w:b w:val="0"/>
          <w:bCs w:val="0"/>
          <w:color w:val="auto"/>
          <w:kern w:val="0"/>
          <w:sz w:val="32"/>
          <w:szCs w:val="32"/>
          <w:lang w:val="en-US" w:eastAsia="zh-CN" w:bidi="ar-SA"/>
        </w:rPr>
        <w:t>分别为各县旅游接待人数增速和旅游综合收入增速；w</w:t>
      </w:r>
      <w:r>
        <w:rPr>
          <w:rFonts w:hint="eastAsia" w:ascii="Times New Roman" w:hAnsi="Times New Roman" w:eastAsia="仿宋_GB2312" w:cs="Times New Roman"/>
          <w:b w:val="0"/>
          <w:bCs w:val="0"/>
          <w:color w:val="auto"/>
          <w:kern w:val="0"/>
          <w:sz w:val="32"/>
          <w:szCs w:val="32"/>
          <w:vertAlign w:val="subscript"/>
          <w:lang w:val="en-US" w:eastAsia="zh-CN" w:bidi="ar-SA"/>
        </w:rPr>
        <w:t>i</w:t>
      </w:r>
      <w:r>
        <w:rPr>
          <w:rFonts w:hint="eastAsia" w:ascii="Times New Roman" w:hAnsi="Times New Roman" w:eastAsia="仿宋_GB2312" w:cs="Times New Roman"/>
          <w:b w:val="0"/>
          <w:bCs w:val="0"/>
          <w:color w:val="auto"/>
          <w:kern w:val="0"/>
          <w:sz w:val="32"/>
          <w:szCs w:val="32"/>
          <w:lang w:val="en-US" w:eastAsia="zh-CN" w:bidi="ar-SA"/>
        </w:rPr>
        <w:t>为指标权重（计算中，x</w:t>
      </w:r>
      <w:r>
        <w:rPr>
          <w:rFonts w:hint="eastAsia" w:ascii="Times New Roman" w:hAnsi="Times New Roman" w:eastAsia="仿宋_GB2312" w:cs="Times New Roman"/>
          <w:b w:val="0"/>
          <w:bCs w:val="0"/>
          <w:color w:val="auto"/>
          <w:kern w:val="0"/>
          <w:sz w:val="32"/>
          <w:szCs w:val="32"/>
          <w:vertAlign w:val="subscript"/>
          <w:lang w:val="en-US" w:eastAsia="zh-CN" w:bidi="ar-SA"/>
        </w:rPr>
        <w:t>i</w:t>
      </w:r>
      <w:r>
        <w:rPr>
          <w:rFonts w:hint="eastAsia" w:ascii="Times New Roman" w:hAnsi="Times New Roman" w:eastAsia="仿宋_GB2312" w:cs="Times New Roman"/>
          <w:b w:val="0"/>
          <w:bCs w:val="0"/>
          <w:color w:val="auto"/>
          <w:kern w:val="0"/>
          <w:sz w:val="32"/>
          <w:szCs w:val="32"/>
          <w:lang w:val="en-US" w:eastAsia="zh-CN" w:bidi="ar-SA"/>
        </w:rPr>
        <w:t>或y</w:t>
      </w:r>
      <w:r>
        <w:rPr>
          <w:rFonts w:hint="eastAsia" w:ascii="Times New Roman" w:hAnsi="Times New Roman" w:eastAsia="仿宋_GB2312" w:cs="Times New Roman"/>
          <w:b w:val="0"/>
          <w:bCs w:val="0"/>
          <w:color w:val="auto"/>
          <w:kern w:val="0"/>
          <w:sz w:val="32"/>
          <w:szCs w:val="32"/>
          <w:vertAlign w:val="subscript"/>
          <w:lang w:val="en-US" w:eastAsia="zh-CN" w:bidi="ar-SA"/>
        </w:rPr>
        <w:t>i</w:t>
      </w:r>
      <w:r>
        <w:rPr>
          <w:rFonts w:hint="eastAsia" w:ascii="Times New Roman" w:hAnsi="Times New Roman" w:eastAsia="仿宋_GB2312" w:cs="Times New Roman"/>
          <w:b w:val="0"/>
          <w:bCs w:val="0"/>
          <w:color w:val="auto"/>
          <w:kern w:val="0"/>
          <w:sz w:val="32"/>
          <w:szCs w:val="32"/>
          <w:lang w:val="en-US" w:eastAsia="zh-CN" w:bidi="ar-SA"/>
        </w:rPr>
        <w:t>高于或持平于x或y的，等同于x或y；结果为负值的，d=0；0≤d≤w</w:t>
      </w:r>
      <w:r>
        <w:rPr>
          <w:rFonts w:hint="eastAsia" w:ascii="Times New Roman" w:hAnsi="Times New Roman" w:eastAsia="仿宋_GB2312" w:cs="Times New Roman"/>
          <w:b w:val="0"/>
          <w:bCs w:val="0"/>
          <w:color w:val="auto"/>
          <w:kern w:val="0"/>
          <w:sz w:val="32"/>
          <w:szCs w:val="32"/>
          <w:vertAlign w:val="subscript"/>
          <w:lang w:val="en-US" w:eastAsia="zh-CN" w:bidi="ar-SA"/>
        </w:rPr>
        <w:t>i</w:t>
      </w:r>
      <w:r>
        <w:rPr>
          <w:rFonts w:hint="eastAsia" w:ascii="Times New Roman" w:hAnsi="Times New Roman" w:eastAsia="仿宋_GB2312" w:cs="Times New Roman"/>
          <w:b w:val="0"/>
          <w:bCs w:val="0"/>
          <w:color w:val="auto"/>
          <w:kern w:val="0"/>
          <w:sz w:val="32"/>
          <w:szCs w:val="32"/>
          <w:lang w:val="en-US" w:eastAsia="zh-CN" w:bidi="ar-SA"/>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12.常住人口城镇化率。指按常住人口计算的城镇人口占全部人口数量的比重。计算公式为：常住人口城镇化率=城镇常住人口/常住人口×100%。</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13.城镇居民人均可支配收入及增速。指城镇常住人口在调查期内获得的、可用于最终消费支出和储蓄的总和，即可以用来自由支配的收入，包括现金、实物收入。计算公式为：城镇居民人均可支配收入=人均工资性收入+人均经营净收入+人均财产净收入+人均转移净收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14.农村居民人均可支配收入及增速。指农村常住人口在调查期内获得的、可用于最终消费支出和储蓄的总和，即可以用来自由支配的收入，包括现金、实物收入。计算公式为：农村居民人均可支配收入=人均工资性收入+人均经营净收入+人均财产净收入+人均转移净收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15.空气质量改善率。指可吸入颗粒物（PM</w:t>
      </w:r>
      <w:r>
        <w:rPr>
          <w:rFonts w:hint="eastAsia" w:ascii="Times New Roman" w:hAnsi="Times New Roman" w:eastAsia="仿宋_GB2312" w:cs="Times New Roman"/>
          <w:b w:val="0"/>
          <w:bCs w:val="0"/>
          <w:color w:val="auto"/>
          <w:kern w:val="0"/>
          <w:sz w:val="32"/>
          <w:szCs w:val="32"/>
          <w:vertAlign w:val="subscript"/>
          <w:lang w:val="en-US" w:eastAsia="zh-CN" w:bidi="ar-SA"/>
        </w:rPr>
        <w:t>10</w:t>
      </w:r>
      <w:r>
        <w:rPr>
          <w:rFonts w:hint="eastAsia" w:ascii="Times New Roman" w:hAnsi="Times New Roman" w:eastAsia="仿宋_GB2312" w:cs="Times New Roman"/>
          <w:b w:val="0"/>
          <w:bCs w:val="0"/>
          <w:color w:val="auto"/>
          <w:kern w:val="0"/>
          <w:sz w:val="32"/>
          <w:szCs w:val="32"/>
          <w:lang w:val="en-US" w:eastAsia="zh-CN" w:bidi="ar-SA"/>
        </w:rPr>
        <w:t>）年均浓度变化率和细颗粒物（PM</w:t>
      </w:r>
      <w:r>
        <w:rPr>
          <w:rFonts w:hint="eastAsia" w:ascii="Times New Roman" w:hAnsi="Times New Roman" w:eastAsia="仿宋_GB2312" w:cs="Times New Roman"/>
          <w:b w:val="0"/>
          <w:bCs w:val="0"/>
          <w:color w:val="auto"/>
          <w:kern w:val="0"/>
          <w:sz w:val="32"/>
          <w:szCs w:val="32"/>
          <w:vertAlign w:val="subscript"/>
          <w:lang w:val="en-US" w:eastAsia="zh-CN" w:bidi="ar-SA"/>
        </w:rPr>
        <w:t>2.5</w:t>
      </w:r>
      <w:r>
        <w:rPr>
          <w:rFonts w:hint="eastAsia" w:ascii="Times New Roman" w:hAnsi="Times New Roman" w:eastAsia="仿宋_GB2312" w:cs="Times New Roman"/>
          <w:b w:val="0"/>
          <w:bCs w:val="0"/>
          <w:color w:val="auto"/>
          <w:kern w:val="0"/>
          <w:sz w:val="32"/>
          <w:szCs w:val="32"/>
          <w:lang w:val="en-US" w:eastAsia="zh-CN" w:bidi="ar-SA"/>
        </w:rPr>
        <w:t>）年均浓度变化率两项指标。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（1）可吸入颗粒物（PM</w:t>
      </w:r>
      <w:r>
        <w:rPr>
          <w:rFonts w:hint="eastAsia" w:ascii="Times New Roman" w:hAnsi="Times New Roman" w:eastAsia="仿宋_GB2312" w:cs="Times New Roman"/>
          <w:b w:val="0"/>
          <w:bCs w:val="0"/>
          <w:color w:val="auto"/>
          <w:kern w:val="0"/>
          <w:sz w:val="32"/>
          <w:szCs w:val="32"/>
          <w:vertAlign w:val="subscript"/>
          <w:lang w:val="en-US" w:eastAsia="zh-CN" w:bidi="ar-SA"/>
        </w:rPr>
        <w:t>10</w:t>
      </w:r>
      <w:r>
        <w:rPr>
          <w:rFonts w:hint="eastAsia" w:ascii="Times New Roman" w:hAnsi="Times New Roman" w:eastAsia="仿宋_GB2312" w:cs="Times New Roman"/>
          <w:b w:val="0"/>
          <w:bCs w:val="0"/>
          <w:color w:val="auto"/>
          <w:kern w:val="0"/>
          <w:sz w:val="32"/>
          <w:szCs w:val="32"/>
          <w:lang w:val="en-US" w:eastAsia="zh-CN" w:bidi="ar-SA"/>
        </w:rPr>
        <w:t>）年均浓度变化率：指本地区PM</w:t>
      </w:r>
      <w:r>
        <w:rPr>
          <w:rFonts w:hint="eastAsia" w:ascii="Times New Roman" w:hAnsi="Times New Roman" w:eastAsia="仿宋_GB2312" w:cs="Times New Roman"/>
          <w:b w:val="0"/>
          <w:bCs w:val="0"/>
          <w:color w:val="auto"/>
          <w:kern w:val="0"/>
          <w:sz w:val="32"/>
          <w:szCs w:val="32"/>
          <w:vertAlign w:val="subscript"/>
          <w:lang w:val="en-US" w:eastAsia="zh-CN" w:bidi="ar-SA"/>
        </w:rPr>
        <w:t>10</w:t>
      </w:r>
      <w:r>
        <w:rPr>
          <w:rFonts w:hint="eastAsia" w:ascii="Times New Roman" w:hAnsi="Times New Roman" w:eastAsia="仿宋_GB2312" w:cs="Times New Roman"/>
          <w:b w:val="0"/>
          <w:bCs w:val="0"/>
          <w:color w:val="auto"/>
          <w:kern w:val="0"/>
          <w:sz w:val="32"/>
          <w:szCs w:val="32"/>
          <w:lang w:val="en-US" w:eastAsia="zh-CN" w:bidi="ar-SA"/>
        </w:rPr>
        <w:t>年均浓度较上年变化情况。评分方法为：考核年PM</w:t>
      </w:r>
      <w:r>
        <w:rPr>
          <w:rFonts w:hint="eastAsia" w:ascii="Times New Roman" w:hAnsi="Times New Roman" w:eastAsia="仿宋_GB2312" w:cs="Times New Roman"/>
          <w:b w:val="0"/>
          <w:bCs w:val="0"/>
          <w:color w:val="auto"/>
          <w:kern w:val="0"/>
          <w:sz w:val="32"/>
          <w:szCs w:val="32"/>
          <w:vertAlign w:val="subscript"/>
          <w:lang w:val="en-US" w:eastAsia="zh-CN" w:bidi="ar-SA"/>
        </w:rPr>
        <w:t>10</w:t>
      </w:r>
      <w:r>
        <w:rPr>
          <w:rFonts w:hint="eastAsia" w:ascii="Times New Roman" w:hAnsi="Times New Roman" w:eastAsia="仿宋_GB2312" w:cs="Times New Roman"/>
          <w:b w:val="0"/>
          <w:bCs w:val="0"/>
          <w:color w:val="auto"/>
          <w:kern w:val="0"/>
          <w:sz w:val="32"/>
          <w:szCs w:val="32"/>
          <w:lang w:val="en-US" w:eastAsia="zh-CN" w:bidi="ar-SA"/>
        </w:rPr>
        <w:t>年均浓度较上一年同比持平或下降，该项得分为赋分权重×50%；考核年PM</w:t>
      </w:r>
      <w:r>
        <w:rPr>
          <w:rFonts w:hint="eastAsia" w:ascii="Times New Roman" w:hAnsi="Times New Roman" w:eastAsia="仿宋_GB2312" w:cs="Times New Roman"/>
          <w:b w:val="0"/>
          <w:bCs w:val="0"/>
          <w:color w:val="auto"/>
          <w:kern w:val="0"/>
          <w:sz w:val="32"/>
          <w:szCs w:val="32"/>
          <w:vertAlign w:val="subscript"/>
          <w:lang w:val="en-US" w:eastAsia="zh-CN" w:bidi="ar-SA"/>
        </w:rPr>
        <w:t>10</w:t>
      </w:r>
      <w:r>
        <w:rPr>
          <w:rFonts w:hint="eastAsia" w:ascii="Times New Roman" w:hAnsi="Times New Roman" w:eastAsia="仿宋_GB2312" w:cs="Times New Roman"/>
          <w:b w:val="0"/>
          <w:bCs w:val="0"/>
          <w:color w:val="auto"/>
          <w:kern w:val="0"/>
          <w:sz w:val="32"/>
          <w:szCs w:val="32"/>
          <w:lang w:val="en-US" w:eastAsia="zh-CN" w:bidi="ar-SA"/>
        </w:rPr>
        <w:t>年均浓度较上一年同比每上升1个百分点（百分点按四舍五入取整数），扣除该项得分的5%，扣完为止。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（2）细颗粒物（PM</w:t>
      </w:r>
      <w:r>
        <w:rPr>
          <w:rFonts w:hint="eastAsia" w:ascii="Times New Roman" w:hAnsi="Times New Roman" w:eastAsia="仿宋_GB2312" w:cs="Times New Roman"/>
          <w:b w:val="0"/>
          <w:bCs w:val="0"/>
          <w:color w:val="auto"/>
          <w:kern w:val="0"/>
          <w:sz w:val="32"/>
          <w:szCs w:val="32"/>
          <w:vertAlign w:val="subscript"/>
          <w:lang w:val="en-US" w:eastAsia="zh-CN" w:bidi="ar-SA"/>
        </w:rPr>
        <w:t>2.5</w:t>
      </w:r>
      <w:r>
        <w:rPr>
          <w:rFonts w:hint="eastAsia" w:ascii="Times New Roman" w:hAnsi="Times New Roman" w:eastAsia="仿宋_GB2312" w:cs="Times New Roman"/>
          <w:b w:val="0"/>
          <w:bCs w:val="0"/>
          <w:color w:val="auto"/>
          <w:kern w:val="0"/>
          <w:sz w:val="32"/>
          <w:szCs w:val="32"/>
          <w:lang w:val="en-US" w:eastAsia="zh-CN" w:bidi="ar-SA"/>
        </w:rPr>
        <w:t>）年均浓度变化率：指本地区PM</w:t>
      </w:r>
      <w:r>
        <w:rPr>
          <w:rFonts w:hint="eastAsia" w:ascii="Times New Roman" w:hAnsi="Times New Roman" w:eastAsia="仿宋_GB2312" w:cs="Times New Roman"/>
          <w:b w:val="0"/>
          <w:bCs w:val="0"/>
          <w:color w:val="auto"/>
          <w:kern w:val="0"/>
          <w:sz w:val="32"/>
          <w:szCs w:val="32"/>
          <w:vertAlign w:val="subscript"/>
          <w:lang w:val="en-US" w:eastAsia="zh-CN" w:bidi="ar-SA"/>
        </w:rPr>
        <w:t>2.5</w:t>
      </w:r>
      <w:r>
        <w:rPr>
          <w:rFonts w:hint="eastAsia" w:ascii="Times New Roman" w:hAnsi="Times New Roman" w:eastAsia="仿宋_GB2312" w:cs="Times New Roman"/>
          <w:b w:val="0"/>
          <w:bCs w:val="0"/>
          <w:color w:val="auto"/>
          <w:kern w:val="0"/>
          <w:sz w:val="32"/>
          <w:szCs w:val="32"/>
          <w:lang w:val="en-US" w:eastAsia="zh-CN" w:bidi="ar-SA"/>
        </w:rPr>
        <w:t>年均浓度较上年变化情况。评分方法为：考核年PM</w:t>
      </w:r>
      <w:r>
        <w:rPr>
          <w:rFonts w:hint="eastAsia" w:ascii="Times New Roman" w:hAnsi="Times New Roman" w:eastAsia="仿宋_GB2312" w:cs="Times New Roman"/>
          <w:b w:val="0"/>
          <w:bCs w:val="0"/>
          <w:color w:val="auto"/>
          <w:kern w:val="0"/>
          <w:sz w:val="32"/>
          <w:szCs w:val="32"/>
          <w:vertAlign w:val="subscript"/>
          <w:lang w:val="en-US" w:eastAsia="zh-CN" w:bidi="ar-SA"/>
        </w:rPr>
        <w:t>2.5</w:t>
      </w:r>
      <w:r>
        <w:rPr>
          <w:rFonts w:hint="eastAsia" w:ascii="Times New Roman" w:hAnsi="Times New Roman" w:eastAsia="仿宋_GB2312" w:cs="Times New Roman"/>
          <w:b w:val="0"/>
          <w:bCs w:val="0"/>
          <w:color w:val="auto"/>
          <w:kern w:val="0"/>
          <w:sz w:val="32"/>
          <w:szCs w:val="32"/>
          <w:lang w:val="en-US" w:eastAsia="zh-CN" w:bidi="ar-SA"/>
        </w:rPr>
        <w:t>年均浓度较上一年同比持平或下降，该项得分为赋分权重×50%；考核年PM</w:t>
      </w:r>
      <w:r>
        <w:rPr>
          <w:rFonts w:hint="eastAsia" w:ascii="Times New Roman" w:hAnsi="Times New Roman" w:eastAsia="仿宋_GB2312" w:cs="Times New Roman"/>
          <w:b w:val="0"/>
          <w:bCs w:val="0"/>
          <w:color w:val="auto"/>
          <w:kern w:val="0"/>
          <w:sz w:val="32"/>
          <w:szCs w:val="32"/>
          <w:vertAlign w:val="subscript"/>
          <w:lang w:val="en-US" w:eastAsia="zh-CN" w:bidi="ar-SA"/>
        </w:rPr>
        <w:t>2.5</w:t>
      </w:r>
      <w:r>
        <w:rPr>
          <w:rFonts w:hint="eastAsia" w:ascii="Times New Roman" w:hAnsi="Times New Roman" w:eastAsia="仿宋_GB2312" w:cs="Times New Roman"/>
          <w:b w:val="0"/>
          <w:bCs w:val="0"/>
          <w:color w:val="auto"/>
          <w:kern w:val="0"/>
          <w:sz w:val="32"/>
          <w:szCs w:val="32"/>
          <w:lang w:val="en-US" w:eastAsia="zh-CN" w:bidi="ar-SA"/>
        </w:rPr>
        <w:t>年均浓度较上一年同比每上升1个百分点（百分点按四舍五入取整数），扣除该项得分的5%，扣完为止。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空气质量改善率得分=可吸入颗粒物（PM</w:t>
      </w:r>
      <w:r>
        <w:rPr>
          <w:rFonts w:hint="eastAsia" w:ascii="Times New Roman" w:hAnsi="Times New Roman" w:eastAsia="仿宋_GB2312" w:cs="Times New Roman"/>
          <w:b w:val="0"/>
          <w:bCs w:val="0"/>
          <w:color w:val="auto"/>
          <w:kern w:val="0"/>
          <w:sz w:val="32"/>
          <w:szCs w:val="32"/>
          <w:vertAlign w:val="subscript"/>
          <w:lang w:val="en-US" w:eastAsia="zh-CN" w:bidi="ar-SA"/>
        </w:rPr>
        <w:t>10</w:t>
      </w:r>
      <w:r>
        <w:rPr>
          <w:rFonts w:hint="eastAsia" w:ascii="Times New Roman" w:hAnsi="Times New Roman" w:eastAsia="仿宋_GB2312" w:cs="Times New Roman"/>
          <w:b w:val="0"/>
          <w:bCs w:val="0"/>
          <w:color w:val="auto"/>
          <w:kern w:val="0"/>
          <w:sz w:val="32"/>
          <w:szCs w:val="32"/>
          <w:lang w:val="en-US" w:eastAsia="zh-CN" w:bidi="ar-SA"/>
        </w:rPr>
        <w:t>）年均浓度变化率得分+细颗粒物（PM</w:t>
      </w:r>
      <w:r>
        <w:rPr>
          <w:rFonts w:hint="eastAsia" w:ascii="Times New Roman" w:hAnsi="Times New Roman" w:eastAsia="仿宋_GB2312" w:cs="Times New Roman"/>
          <w:b w:val="0"/>
          <w:bCs w:val="0"/>
          <w:color w:val="auto"/>
          <w:kern w:val="0"/>
          <w:sz w:val="32"/>
          <w:szCs w:val="32"/>
          <w:vertAlign w:val="subscript"/>
          <w:lang w:val="en-US" w:eastAsia="zh-CN" w:bidi="ar-SA"/>
        </w:rPr>
        <w:t>2.5</w:t>
      </w:r>
      <w:r>
        <w:rPr>
          <w:rFonts w:hint="eastAsia" w:ascii="Times New Roman" w:hAnsi="Times New Roman" w:eastAsia="仿宋_GB2312" w:cs="Times New Roman"/>
          <w:b w:val="0"/>
          <w:bCs w:val="0"/>
          <w:color w:val="auto"/>
          <w:kern w:val="0"/>
          <w:sz w:val="32"/>
          <w:szCs w:val="32"/>
          <w:lang w:val="en-US" w:eastAsia="zh-CN" w:bidi="ar-SA"/>
        </w:rPr>
        <w:t>）年均浓度变化率得分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16.水环境质量达标率。指县级及以上城市集中式饮用水水源水质达标率和地表水考核断面水质达标率两项指标。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1）县级及以上城市集中式饮用水水源水质达标率：指各县涉及的县级及以上城市集中式饮用水水源水质达到考核目标的情况。计算公式为：县级及以上城市集中式饮用水水源水质达标率得分=水质达到考核目标县级及以上集中式饮用水水源数量/县级及以上集中式饮用水水源总数量×权重×50%。</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2）地表水考核断面水质达标率：指各县涉及的地表水考核断面水质达到考核目标的情况。计算公式为：地表水考核断面水质达标率得分=水质达到考核目标的地表水考核断面数量/地表水考核断面总数量×权重×50%。</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水环境质量达标率得分=县级及以上城市集中式饮用水水源水质达标率得分+地表水考核断面水质达标率得分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17.万元GDP能耗降低率。万元GDP能耗，指报告期内本地区每生产一万元GDP所消耗的能源。万元GDP能耗降低率，指报告期内万元GDP能耗的降低速度。计算公式为：万元GDP能耗降低率=（1－本年万元GDP能耗/上年万元GDP能耗）×100%。</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18.万元GDP用水量。指报告期内用水总量与地区生产总值（按不变价计算）的比值。计算公式为：万元GDP用水量＝用水总量/GDP总值。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19.城乡生活垃圾处理率。指城市（县城）生活垃圾无害化处理率和农村生活垃圾治理率两项指标综合平均而成。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1）城市（县城）生活垃圾无害化处理率：指报告期内生活垃圾无害化处理量与生活垃圾产生量的比率。计算公式为：城市（县城）生活垃圾无害化处理率=生活垃圾无害化处理量/生活垃圾产生量×100%（在统计时，由于生活垃圾产生量不易取得，可用清运量代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（2）农村生活垃圾治理率：指生活垃圾收运、处置覆盖的行政村比例。计算公式为：农村生活垃圾治理率=生活垃圾收运、处置覆盖的行政村数量/行政村总数×100%。</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20.城市（县城）污水处理率。指城市污水集中收集率和县城污水处理率两项指标综合平均而成。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（1）城市污水集中收集率：指向污水处理厂排水的城区人口占城区用水总人口比例。计算公式为：城市生活污水集中收集率=向污水处理厂排水的城区人口/城区用水总人口×100%。</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（2）县城污水处理率：指报告期内污水处理总量与污水排放总量的比率。计算公式为：县城污水处理率＝污水处理总量/污水排放总量×100%。</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21.公众生态环境满意度。为主观调查指标，指通过开展抽样调查，了解公众对本地区生态文明建设、生态环境改善的满意程度，受访居民对本地区生态环境表示非常满意和比较满意的人数占调查人数的比例。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22.重大生产安全责任事故。根据《生产安全事故报告和调查处理条例》（国务院令493号）第三条，当年发生重大、特别重大以及在社会上造成恶劣影响且负有监管责任的生产安全事故的县，扣除该项指标的分值。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23.重大及以上突发环境事件。发生任意一起重大及以上突发环境事件，扣除该项指标的分值。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24.政府债务风险管控。根据政府法定债务风险和隐性债务风险情况，对债务风险管控不力的县，扣除该项指标的分值。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val="0"/>
        <w:snapToGrid w:val="0"/>
        <w:spacing w:before="0" w:beforeAutospacing="0" w:after="0" w:afterAutospacing="0" w:line="570" w:lineRule="exact"/>
        <w:ind w:left="0" w:right="0"/>
        <w:jc w:val="both"/>
        <w:textAlignment w:val="auto"/>
        <w:rPr>
          <w:rFonts w:ascii="Times New Roman" w:hAnsi="Times New Roman" w:eastAsia="仿宋_GB2312"/>
          <w:sz w:val="32"/>
          <w:szCs w:val="32"/>
        </w:rPr>
      </w:pPr>
      <w:r>
        <w:rPr>
          <w:rFonts w:hint="eastAsia" w:ascii="Times New Roman" w:hAnsi="Times New Roman" w:eastAsia="仿宋_GB2312" w:cs="Times New Roman"/>
          <w:b w:val="0"/>
          <w:bCs w:val="0"/>
          <w:color w:val="auto"/>
          <w:kern w:val="0"/>
          <w:sz w:val="32"/>
          <w:szCs w:val="32"/>
          <w:lang w:val="en-US" w:eastAsia="zh-CN" w:bidi="ar-SA"/>
        </w:rPr>
        <w:t>25.银行业保险业重大金融风险防范化解。根据银行保险监管部门相关规定及政府相关工作要求，对辖区银行业保险业发生重大金融风险且防范化解处置不力的，扣除该项指标的分值。</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仿宋_GB2312" w:hAnsi="仿宋_GB2312" w:eastAsia="仿宋_GB2312" w:cs="仿宋_GB2312"/>
          <w:sz w:val="32"/>
          <w:szCs w:val="32"/>
          <w:lang w:val="en-US" w:eastAsia="zh-CN"/>
        </w:rPr>
      </w:pPr>
    </w:p>
    <w:sectPr>
      <w:footerReference r:id="rId6"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left="210" w:leftChars="100" w:right="210" w:rightChars="100"/>
                            <w:rPr>
                              <w:rStyle w:val="11"/>
                              <w:rFonts w:hint="eastAsia" w:ascii="宋体" w:eastAsia="宋体"/>
                              <w:sz w:val="28"/>
                              <w:szCs w:val="28"/>
                            </w:rPr>
                          </w:pPr>
                          <w:r>
                            <w:rPr>
                              <w:rStyle w:val="11"/>
                              <w:rFonts w:hint="eastAsia" w:ascii="宋体" w:eastAsia="宋体"/>
                              <w:sz w:val="28"/>
                              <w:szCs w:val="28"/>
                            </w:rPr>
                            <w:t>—</w:t>
                          </w:r>
                          <w:r>
                            <w:rPr>
                              <w:rStyle w:val="11"/>
                              <w:rFonts w:hint="eastAsia" w:ascii="宋体" w:eastAsia="宋体"/>
                              <w:sz w:val="28"/>
                              <w:szCs w:val="28"/>
                              <w:lang w:val="en-US" w:eastAsia="zh-CN"/>
                            </w:rPr>
                            <w:t xml:space="preserve"> </w:t>
                          </w:r>
                          <w:r>
                            <w:rPr>
                              <w:rFonts w:hint="eastAsia" w:ascii="宋体" w:eastAsia="宋体"/>
                              <w:sz w:val="28"/>
                              <w:szCs w:val="28"/>
                            </w:rPr>
                            <w:fldChar w:fldCharType="begin"/>
                          </w:r>
                          <w:r>
                            <w:rPr>
                              <w:rStyle w:val="11"/>
                              <w:rFonts w:hint="eastAsia" w:ascii="宋体" w:eastAsia="宋体"/>
                              <w:sz w:val="28"/>
                              <w:szCs w:val="28"/>
                            </w:rPr>
                            <w:instrText xml:space="preserve">PAGE  </w:instrText>
                          </w:r>
                          <w:r>
                            <w:rPr>
                              <w:rFonts w:hint="eastAsia" w:ascii="宋体" w:eastAsia="宋体"/>
                              <w:sz w:val="28"/>
                              <w:szCs w:val="28"/>
                            </w:rPr>
                            <w:fldChar w:fldCharType="separate"/>
                          </w:r>
                          <w:r>
                            <w:rPr>
                              <w:rStyle w:val="11"/>
                              <w:rFonts w:hint="eastAsia" w:ascii="宋体" w:eastAsia="宋体"/>
                              <w:sz w:val="28"/>
                              <w:szCs w:val="28"/>
                            </w:rPr>
                            <w:t>３</w:t>
                          </w:r>
                          <w:r>
                            <w:rPr>
                              <w:rFonts w:hint="eastAsia" w:ascii="宋体" w:eastAsia="宋体"/>
                              <w:sz w:val="28"/>
                              <w:szCs w:val="28"/>
                            </w:rPr>
                            <w:fldChar w:fldCharType="end"/>
                          </w:r>
                          <w:r>
                            <w:rPr>
                              <w:rFonts w:hint="eastAsia" w:ascii="宋体" w:eastAsia="宋体"/>
                              <w:sz w:val="28"/>
                              <w:szCs w:val="28"/>
                              <w:lang w:val="en-US" w:eastAsia="zh-CN"/>
                            </w:rPr>
                            <w:t xml:space="preserve"> </w:t>
                          </w:r>
                          <w:r>
                            <w:rPr>
                              <w:rStyle w:val="11"/>
                              <w:rFonts w:hint="eastAsia" w:ascii="宋体" w:eastAsia="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6"/>
                      <w:ind w:left="210" w:leftChars="100" w:right="210" w:rightChars="100"/>
                      <w:rPr>
                        <w:rStyle w:val="11"/>
                        <w:rFonts w:hint="eastAsia" w:ascii="宋体" w:eastAsia="宋体"/>
                        <w:sz w:val="28"/>
                        <w:szCs w:val="28"/>
                      </w:rPr>
                    </w:pPr>
                    <w:r>
                      <w:rPr>
                        <w:rStyle w:val="11"/>
                        <w:rFonts w:hint="eastAsia" w:ascii="宋体" w:eastAsia="宋体"/>
                        <w:sz w:val="28"/>
                        <w:szCs w:val="28"/>
                      </w:rPr>
                      <w:t>—</w:t>
                    </w:r>
                    <w:r>
                      <w:rPr>
                        <w:rStyle w:val="11"/>
                        <w:rFonts w:hint="eastAsia" w:ascii="宋体" w:eastAsia="宋体"/>
                        <w:sz w:val="28"/>
                        <w:szCs w:val="28"/>
                        <w:lang w:val="en-US" w:eastAsia="zh-CN"/>
                      </w:rPr>
                      <w:t xml:space="preserve"> </w:t>
                    </w:r>
                    <w:r>
                      <w:rPr>
                        <w:rFonts w:hint="eastAsia" w:ascii="宋体" w:eastAsia="宋体"/>
                        <w:sz w:val="28"/>
                        <w:szCs w:val="28"/>
                      </w:rPr>
                      <w:fldChar w:fldCharType="begin"/>
                    </w:r>
                    <w:r>
                      <w:rPr>
                        <w:rStyle w:val="11"/>
                        <w:rFonts w:hint="eastAsia" w:ascii="宋体" w:eastAsia="宋体"/>
                        <w:sz w:val="28"/>
                        <w:szCs w:val="28"/>
                      </w:rPr>
                      <w:instrText xml:space="preserve">PAGE  </w:instrText>
                    </w:r>
                    <w:r>
                      <w:rPr>
                        <w:rFonts w:hint="eastAsia" w:ascii="宋体" w:eastAsia="宋体"/>
                        <w:sz w:val="28"/>
                        <w:szCs w:val="28"/>
                      </w:rPr>
                      <w:fldChar w:fldCharType="separate"/>
                    </w:r>
                    <w:r>
                      <w:rPr>
                        <w:rStyle w:val="11"/>
                        <w:rFonts w:hint="eastAsia" w:ascii="宋体" w:eastAsia="宋体"/>
                        <w:sz w:val="28"/>
                        <w:szCs w:val="28"/>
                      </w:rPr>
                      <w:t>３</w:t>
                    </w:r>
                    <w:r>
                      <w:rPr>
                        <w:rFonts w:hint="eastAsia" w:ascii="宋体" w:eastAsia="宋体"/>
                        <w:sz w:val="28"/>
                        <w:szCs w:val="28"/>
                      </w:rPr>
                      <w:fldChar w:fldCharType="end"/>
                    </w:r>
                    <w:r>
                      <w:rPr>
                        <w:rFonts w:hint="eastAsia" w:ascii="宋体" w:eastAsia="宋体"/>
                        <w:sz w:val="28"/>
                        <w:szCs w:val="28"/>
                        <w:lang w:val="en-US" w:eastAsia="zh-CN"/>
                      </w:rPr>
                      <w:t xml:space="preserve"> </w:t>
                    </w:r>
                    <w:r>
                      <w:rPr>
                        <w:rStyle w:val="11"/>
                        <w:rFonts w:hint="eastAsia" w:ascii="宋体" w:eastAsia="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8592B"/>
    <w:rsid w:val="01A2115F"/>
    <w:rsid w:val="0ADC7664"/>
    <w:rsid w:val="11B82282"/>
    <w:rsid w:val="14161068"/>
    <w:rsid w:val="16957866"/>
    <w:rsid w:val="1FE055F2"/>
    <w:rsid w:val="263F0071"/>
    <w:rsid w:val="3DDC7133"/>
    <w:rsid w:val="4EB17B04"/>
    <w:rsid w:val="50477695"/>
    <w:rsid w:val="55AB3D10"/>
    <w:rsid w:val="561876F8"/>
    <w:rsid w:val="5AB870ED"/>
    <w:rsid w:val="5E22326B"/>
    <w:rsid w:val="60970AE9"/>
    <w:rsid w:val="6869266B"/>
    <w:rsid w:val="6DE01E0E"/>
    <w:rsid w:val="7118592B"/>
    <w:rsid w:val="71FE6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keepLines/>
      <w:spacing w:before="340" w:after="330" w:line="576" w:lineRule="auto"/>
      <w:outlineLvl w:val="0"/>
    </w:pPr>
    <w:rPr>
      <w:b/>
      <w:bCs/>
      <w:kern w:val="44"/>
      <w:sz w:val="44"/>
      <w:szCs w:val="44"/>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index 6"/>
    <w:basedOn w:val="1"/>
    <w:next w:val="1"/>
    <w:qFormat/>
    <w:uiPriority w:val="99"/>
  </w:style>
  <w:style w:type="paragraph" w:styleId="4">
    <w:name w:val="Body Text Indent 2"/>
    <w:basedOn w:val="1"/>
    <w:next w:val="5"/>
    <w:unhideWhenUsed/>
    <w:qFormat/>
    <w:uiPriority w:val="99"/>
    <w:pPr>
      <w:spacing w:before="100" w:beforeAutospacing="1" w:after="120" w:line="480" w:lineRule="auto"/>
      <w:ind w:left="420" w:leftChars="200"/>
    </w:pPr>
  </w:style>
  <w:style w:type="paragraph" w:styleId="5">
    <w:name w:val="Normal (Web)"/>
    <w:basedOn w:val="1"/>
    <w:qFormat/>
    <w:uiPriority w:val="0"/>
    <w:pPr>
      <w:widowControl/>
      <w:spacing w:before="100" w:beforeAutospacing="1" w:after="100" w:afterAutospacing="1"/>
      <w:ind w:firstLine="21" w:firstLineChars="200"/>
      <w:jc w:val="left"/>
    </w:pPr>
    <w:rPr>
      <w:rFonts w:ascii="宋体" w:hAnsi="宋体" w:eastAsia="宋体"/>
      <w:color w:val="auto"/>
      <w:kern w:val="0"/>
      <w:sz w:val="24"/>
      <w:szCs w:val="20"/>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2020-05-25T02:21:00Z</dcterms:created>
  <dc:creator>愚璞</dc:creator>
  <cp:lastModifiedBy>北方●狼</cp:lastModifiedBy>
  <cp:lastPrinted>2021-04-29T03:33:00Z</cp:lastPrinted>
  <dcterms:modified xsi:type="dcterms:W3CDTF">2021-06-17T08:44:30Z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A851B65D3945442990C9E6B15D71A039</vt:lpwstr>
  </property>
</Properties>
</file>