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1100" w:firstLineChars="250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平凉市庄浪县2021年第一季度存量住宅</w:t>
      </w:r>
    </w:p>
    <w:p>
      <w:pPr>
        <w:widowControl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用地项目清单及信息汇总表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表1：平凉市庄浪县存量住宅用地项目清单</w:t>
      </w:r>
    </w:p>
    <w:p>
      <w:pPr>
        <w:jc w:val="right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单位：公顷</w:t>
      </w:r>
    </w:p>
    <w:tbl>
      <w:tblPr>
        <w:tblStyle w:val="7"/>
        <w:tblW w:w="98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2013"/>
        <w:gridCol w:w="2410"/>
        <w:gridCol w:w="1138"/>
        <w:gridCol w:w="1136"/>
        <w:gridCol w:w="1060"/>
        <w:gridCol w:w="1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序号</w:t>
            </w:r>
          </w:p>
        </w:tc>
        <w:tc>
          <w:tcPr>
            <w:tcW w:w="201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项目名称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位置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住宅类型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土地面积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建设状态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未销售房屋的土地面积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（1）</w:t>
            </w:r>
          </w:p>
        </w:tc>
        <w:tc>
          <w:tcPr>
            <w:tcW w:w="201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（2）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（3）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（4）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（5）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（6）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20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甘肃中天房地产开发有限责任公司</w:t>
            </w:r>
          </w:p>
        </w:tc>
        <w:tc>
          <w:tcPr>
            <w:tcW w:w="24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sz w:val="18"/>
              </w:rPr>
              <w:t>庄浪县南城区，东至振宁路，西至平安路，北至南滨河南路及公安业务用房，南至永泰路。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普通商品房</w:t>
            </w:r>
          </w:p>
        </w:tc>
        <w:tc>
          <w:tcPr>
            <w:tcW w:w="11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5.8547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已</w:t>
            </w:r>
            <w:r>
              <w:rPr>
                <w:rFonts w:ascii="Times New Roman" w:hAnsi="Times New Roman" w:eastAsia="宋体" w:cs="Times New Roman"/>
                <w:szCs w:val="21"/>
              </w:rPr>
              <w:t>动工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未竣工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5.8547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20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庄浪宏腾房地产开发有限公司</w:t>
            </w:r>
          </w:p>
        </w:tc>
        <w:tc>
          <w:tcPr>
            <w:tcW w:w="24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sz w:val="18"/>
              </w:rPr>
              <w:t>庄浪县老城区，水洛镇何马村，东至西环路，西至幸福三路，北至国强路，南至原玻璃厂。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普通商品房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2.5874</w:t>
            </w:r>
          </w:p>
        </w:tc>
        <w:tc>
          <w:tcPr>
            <w:tcW w:w="1060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未</w:t>
            </w:r>
            <w:r>
              <w:rPr>
                <w:rFonts w:ascii="Times New Roman" w:hAnsi="Times New Roman" w:eastAsia="宋体" w:cs="Times New Roman"/>
                <w:szCs w:val="21"/>
              </w:rPr>
              <w:t>动工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— 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</w:t>
            </w:r>
          </w:p>
        </w:tc>
        <w:tc>
          <w:tcPr>
            <w:tcW w:w="20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庄浪新灏房地产开发有限公司</w:t>
            </w:r>
          </w:p>
        </w:tc>
        <w:tc>
          <w:tcPr>
            <w:tcW w:w="24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庄浪县老城区何马村，实验小学以南，西环路以东，北滨河路以北，原工业三路以西。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普通商品房</w:t>
            </w:r>
          </w:p>
        </w:tc>
        <w:tc>
          <w:tcPr>
            <w:tcW w:w="11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2.7110</w:t>
            </w:r>
          </w:p>
        </w:tc>
        <w:tc>
          <w:tcPr>
            <w:tcW w:w="1060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未</w:t>
            </w:r>
            <w:r>
              <w:rPr>
                <w:rFonts w:ascii="Times New Roman" w:hAnsi="Times New Roman" w:eastAsia="宋体" w:cs="Times New Roman"/>
                <w:szCs w:val="21"/>
              </w:rPr>
              <w:t>动工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— 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</w:p>
        </w:tc>
        <w:tc>
          <w:tcPr>
            <w:tcW w:w="20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甘肃艺城房地产开发公司</w:t>
            </w:r>
          </w:p>
        </w:tc>
        <w:tc>
          <w:tcPr>
            <w:tcW w:w="24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庄浪县水洛镇老城区，原洛怡饮片厂，东至贺庄村物流中心，西至园区路，北至国强路，南至滨河路。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普通商品房</w:t>
            </w:r>
          </w:p>
        </w:tc>
        <w:tc>
          <w:tcPr>
            <w:tcW w:w="11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1.7495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已</w:t>
            </w:r>
            <w:r>
              <w:rPr>
                <w:rFonts w:ascii="Times New Roman" w:hAnsi="Times New Roman" w:eastAsia="宋体" w:cs="Times New Roman"/>
                <w:szCs w:val="21"/>
              </w:rPr>
              <w:t>动工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未竣工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1.7495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5</w:t>
            </w:r>
          </w:p>
        </w:tc>
        <w:tc>
          <w:tcPr>
            <w:tcW w:w="20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庄浪县愿景房地产综合开发有限责任公司</w:t>
            </w:r>
          </w:p>
        </w:tc>
        <w:tc>
          <w:tcPr>
            <w:tcW w:w="24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庄浪县老城区，水洛镇东城区，东至公安局，西至县委，北至东西大街，南至紫荆路农牧局家属院片区棚户区改造1-7#楼。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普通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商品房</w:t>
            </w:r>
          </w:p>
        </w:tc>
        <w:tc>
          <w:tcPr>
            <w:tcW w:w="11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1.6408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已</w:t>
            </w:r>
            <w:r>
              <w:rPr>
                <w:rFonts w:ascii="Times New Roman" w:hAnsi="Times New Roman" w:eastAsia="宋体" w:cs="Times New Roman"/>
                <w:szCs w:val="21"/>
              </w:rPr>
              <w:t>动工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未竣工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1.6408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6</w:t>
            </w:r>
          </w:p>
        </w:tc>
        <w:tc>
          <w:tcPr>
            <w:tcW w:w="20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庄浪县愿景房地产综合开发有限责任公司</w:t>
            </w:r>
          </w:p>
        </w:tc>
        <w:tc>
          <w:tcPr>
            <w:tcW w:w="24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庄浪县水洛镇西关村，东至翠庭花园，西至车站路，北至长青路，南至南河南滨河路。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普通商品房</w:t>
            </w:r>
          </w:p>
        </w:tc>
        <w:tc>
          <w:tcPr>
            <w:tcW w:w="11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5.6939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未动工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— 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7</w:t>
            </w:r>
          </w:p>
        </w:tc>
        <w:tc>
          <w:tcPr>
            <w:tcW w:w="20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庄浪县愿景房地产综合开发有限责任公司</w:t>
            </w:r>
          </w:p>
        </w:tc>
        <w:tc>
          <w:tcPr>
            <w:tcW w:w="24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庄浪县水洛镇西关村，东至翠庭花园，西至车站路，北至老庄华路，南至长青路。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普通商品房</w:t>
            </w:r>
          </w:p>
        </w:tc>
        <w:tc>
          <w:tcPr>
            <w:tcW w:w="113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3.0293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未动工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— —</w:t>
            </w:r>
          </w:p>
        </w:tc>
      </w:tr>
    </w:tbl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填表说明：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1.</w:t>
      </w:r>
      <w:r>
        <w:rPr>
          <w:rFonts w:hint="eastAsia" w:ascii="Times New Roman" w:hAnsi="Times New Roman" w:eastAsia="宋体" w:cs="Times New Roman"/>
        </w:rPr>
        <w:t>关于（4）住宅类型：应选择填写“普通商品房”“租赁型商品房”“共有产权房”“公租房”。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2.</w:t>
      </w:r>
      <w:r>
        <w:rPr>
          <w:rFonts w:hint="eastAsia" w:ascii="Times New Roman" w:hAnsi="Times New Roman" w:eastAsia="宋体" w:cs="Times New Roman"/>
        </w:rPr>
        <w:t>关于（6）建设状态：应选择填写“未动工”“已动工未竣工”。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3.</w:t>
      </w:r>
      <w:r>
        <w:rPr>
          <w:rFonts w:hint="eastAsia" w:ascii="Times New Roman" w:hAnsi="Times New Roman" w:eastAsia="宋体" w:cs="Times New Roman"/>
        </w:rPr>
        <w:t>关于（7）未纳入房屋销售的土地面积：此项只针对“已动工未竣工”的项目，“未动工”项目不需填写。核算方法为：设该地块总面积为S，其中出让合同中约定的容积率为R，已核发销售许可的面积为A，则未纳入房屋销售的土地面积=S-A/R。其中A的具体数值应根据相关部门依法核定的证载面积确定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4.</w:t>
      </w:r>
      <w:r>
        <w:rPr>
          <w:rFonts w:hint="eastAsia" w:ascii="Times New Roman" w:hAnsi="Times New Roman" w:eastAsia="宋体" w:cs="Times New Roman"/>
        </w:rPr>
        <w:t>各表项数量关系：（5）≥（7）。</w:t>
      </w:r>
    </w:p>
    <w:p>
      <w:pPr>
        <w:rPr>
          <w:rFonts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hint="eastAsia"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表2：平凉市庄浪县存量住宅用地信息汇总表</w:t>
      </w:r>
    </w:p>
    <w:p>
      <w:pPr>
        <w:jc w:val="righ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单位：公顷</w:t>
      </w:r>
    </w:p>
    <w:tbl>
      <w:tblPr>
        <w:tblStyle w:val="7"/>
        <w:tblW w:w="98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2157"/>
        <w:gridCol w:w="1971"/>
        <w:gridCol w:w="2049"/>
        <w:gridCol w:w="2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项目总数</w:t>
            </w:r>
          </w:p>
        </w:tc>
        <w:tc>
          <w:tcPr>
            <w:tcW w:w="8393" w:type="dxa"/>
            <w:gridSpan w:val="4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157" w:type="dxa"/>
            <w:vMerge w:val="restart"/>
            <w:tcBorders>
              <w:top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存量住宅用地总面积</w:t>
            </w:r>
          </w:p>
        </w:tc>
        <w:tc>
          <w:tcPr>
            <w:tcW w:w="197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未动工面积</w:t>
            </w:r>
          </w:p>
        </w:tc>
        <w:tc>
          <w:tcPr>
            <w:tcW w:w="4265" w:type="dxa"/>
            <w:gridSpan w:val="2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215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197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</w:tc>
        <w:tc>
          <w:tcPr>
            <w:tcW w:w="2049" w:type="dxa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已动工未竣工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土地面积</w:t>
            </w:r>
          </w:p>
        </w:tc>
        <w:tc>
          <w:tcPr>
            <w:tcW w:w="221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未销售房屋的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土地面积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6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（1）</w:t>
            </w:r>
          </w:p>
        </w:tc>
        <w:tc>
          <w:tcPr>
            <w:tcW w:w="21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（2）</w:t>
            </w:r>
          </w:p>
        </w:tc>
        <w:tc>
          <w:tcPr>
            <w:tcW w:w="197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（3）</w:t>
            </w:r>
          </w:p>
        </w:tc>
        <w:tc>
          <w:tcPr>
            <w:tcW w:w="204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（4）</w:t>
            </w:r>
          </w:p>
        </w:tc>
        <w:tc>
          <w:tcPr>
            <w:tcW w:w="221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（5）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6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7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23.2666</w:t>
            </w:r>
          </w:p>
        </w:tc>
        <w:tc>
          <w:tcPr>
            <w:tcW w:w="197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14.0216</w:t>
            </w:r>
          </w:p>
        </w:tc>
        <w:tc>
          <w:tcPr>
            <w:tcW w:w="204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9.245</w:t>
            </w:r>
          </w:p>
        </w:tc>
        <w:tc>
          <w:tcPr>
            <w:tcW w:w="221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9.245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6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1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97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04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216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填表说明：</w:t>
      </w:r>
      <w:r>
        <w:rPr>
          <w:rFonts w:hint="eastAsia" w:ascii="Times New Roman" w:hAnsi="Times New Roman" w:eastAsia="宋体" w:cs="Times New Roman"/>
        </w:rPr>
        <w:t>各表项数量关系（2）=（3）+（4），（4）≥（5）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庄浪县存量住宅用地位置示意图</w:t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  <w:bookmarkStart w:id="0" w:name="_GoBack"/>
      <w:r>
        <w:drawing>
          <wp:inline distT="0" distB="0" distL="0" distR="0">
            <wp:extent cx="6188710" cy="4441825"/>
            <wp:effectExtent l="19050" t="0" r="2540" b="0"/>
            <wp:docPr id="1" name="图片 1" descr="C:\Documents and Settings\建设利用\My Documents\Tencent Files\446192464\Image\C2C\WA8[Z4U~]6$B3V13J(N%F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建设利用\My Documents\Tencent Files\446192464\Image\C2C\WA8[Z4U~]6$B3V13J(N%FR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8E"/>
    <w:rsid w:val="00021F03"/>
    <w:rsid w:val="000B408E"/>
    <w:rsid w:val="000C794A"/>
    <w:rsid w:val="0015472E"/>
    <w:rsid w:val="002767FC"/>
    <w:rsid w:val="002B0A08"/>
    <w:rsid w:val="003524FF"/>
    <w:rsid w:val="00412205"/>
    <w:rsid w:val="005147EF"/>
    <w:rsid w:val="005C5EE2"/>
    <w:rsid w:val="0064693F"/>
    <w:rsid w:val="006A1B81"/>
    <w:rsid w:val="0079667A"/>
    <w:rsid w:val="00807BC6"/>
    <w:rsid w:val="00857BD0"/>
    <w:rsid w:val="008739DD"/>
    <w:rsid w:val="00987474"/>
    <w:rsid w:val="009A4B70"/>
    <w:rsid w:val="00D55EAB"/>
    <w:rsid w:val="00DA215F"/>
    <w:rsid w:val="00E0745D"/>
    <w:rsid w:val="00E223CD"/>
    <w:rsid w:val="017270B6"/>
    <w:rsid w:val="04D93BD8"/>
    <w:rsid w:val="05D55E68"/>
    <w:rsid w:val="073976D4"/>
    <w:rsid w:val="09945F72"/>
    <w:rsid w:val="0B9B431D"/>
    <w:rsid w:val="0D606E3D"/>
    <w:rsid w:val="0DC91266"/>
    <w:rsid w:val="0F6C419A"/>
    <w:rsid w:val="0F6C7BE2"/>
    <w:rsid w:val="0F8436BD"/>
    <w:rsid w:val="11AB18E4"/>
    <w:rsid w:val="13397BED"/>
    <w:rsid w:val="136C4403"/>
    <w:rsid w:val="13B750F9"/>
    <w:rsid w:val="13DE171E"/>
    <w:rsid w:val="140E1A8B"/>
    <w:rsid w:val="15B90601"/>
    <w:rsid w:val="16987172"/>
    <w:rsid w:val="18B9580A"/>
    <w:rsid w:val="19985258"/>
    <w:rsid w:val="1A5532E2"/>
    <w:rsid w:val="1A556CE1"/>
    <w:rsid w:val="1B1C3026"/>
    <w:rsid w:val="1B692FCB"/>
    <w:rsid w:val="1C0B4323"/>
    <w:rsid w:val="1C2E0449"/>
    <w:rsid w:val="1D97079A"/>
    <w:rsid w:val="1DBE08C8"/>
    <w:rsid w:val="22AA2C28"/>
    <w:rsid w:val="23446FCD"/>
    <w:rsid w:val="262D59E4"/>
    <w:rsid w:val="2744057E"/>
    <w:rsid w:val="27927D34"/>
    <w:rsid w:val="285231C2"/>
    <w:rsid w:val="296972F8"/>
    <w:rsid w:val="2A4D3A6B"/>
    <w:rsid w:val="2C6102C1"/>
    <w:rsid w:val="2C6B504E"/>
    <w:rsid w:val="2CD27698"/>
    <w:rsid w:val="2D9C0F92"/>
    <w:rsid w:val="2DAC08B2"/>
    <w:rsid w:val="2EB02B66"/>
    <w:rsid w:val="30354436"/>
    <w:rsid w:val="31953E02"/>
    <w:rsid w:val="323F6E8B"/>
    <w:rsid w:val="362D3815"/>
    <w:rsid w:val="3A063BC7"/>
    <w:rsid w:val="3A621095"/>
    <w:rsid w:val="3C6F5E21"/>
    <w:rsid w:val="3C964E1D"/>
    <w:rsid w:val="3DCA59CF"/>
    <w:rsid w:val="405C7467"/>
    <w:rsid w:val="40C55BEE"/>
    <w:rsid w:val="40FF4CA1"/>
    <w:rsid w:val="4183606F"/>
    <w:rsid w:val="418535FF"/>
    <w:rsid w:val="422628E7"/>
    <w:rsid w:val="42287311"/>
    <w:rsid w:val="43A21DB5"/>
    <w:rsid w:val="442C3525"/>
    <w:rsid w:val="44EF085C"/>
    <w:rsid w:val="47D463A4"/>
    <w:rsid w:val="4A724A06"/>
    <w:rsid w:val="4CF50DC7"/>
    <w:rsid w:val="4D6D6978"/>
    <w:rsid w:val="4D82077A"/>
    <w:rsid w:val="51870EFD"/>
    <w:rsid w:val="54027BD1"/>
    <w:rsid w:val="575F5892"/>
    <w:rsid w:val="58AC73A6"/>
    <w:rsid w:val="59FB1DF4"/>
    <w:rsid w:val="5D0208E5"/>
    <w:rsid w:val="5DA960FF"/>
    <w:rsid w:val="5DF62647"/>
    <w:rsid w:val="5EAE4174"/>
    <w:rsid w:val="5F18636A"/>
    <w:rsid w:val="5F9A3EE4"/>
    <w:rsid w:val="600255B7"/>
    <w:rsid w:val="60F52F3B"/>
    <w:rsid w:val="612A419F"/>
    <w:rsid w:val="64B07AA4"/>
    <w:rsid w:val="652639AE"/>
    <w:rsid w:val="66E04021"/>
    <w:rsid w:val="680B0E0C"/>
    <w:rsid w:val="681F124C"/>
    <w:rsid w:val="68E714F2"/>
    <w:rsid w:val="692860A5"/>
    <w:rsid w:val="6CE655BA"/>
    <w:rsid w:val="6E35156F"/>
    <w:rsid w:val="6E65582D"/>
    <w:rsid w:val="6EC73679"/>
    <w:rsid w:val="6F2341FE"/>
    <w:rsid w:val="6F7E449B"/>
    <w:rsid w:val="70F32F74"/>
    <w:rsid w:val="71DD3C43"/>
    <w:rsid w:val="730E1918"/>
    <w:rsid w:val="74E15BDC"/>
    <w:rsid w:val="76B84695"/>
    <w:rsid w:val="77A50C1B"/>
    <w:rsid w:val="79A23E02"/>
    <w:rsid w:val="7A175BD1"/>
    <w:rsid w:val="7A3B2E69"/>
    <w:rsid w:val="7E37643A"/>
    <w:rsid w:val="7E601E8E"/>
    <w:rsid w:val="7FAA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character" w:styleId="4">
    <w:name w:val="FollowedHyperlink"/>
    <w:basedOn w:val="3"/>
    <w:qFormat/>
    <w:uiPriority w:val="0"/>
    <w:rPr>
      <w:color w:val="333333"/>
      <w:u w:val="none"/>
    </w:rPr>
  </w:style>
  <w:style w:type="character" w:styleId="5">
    <w:name w:val="Hyperlink"/>
    <w:basedOn w:val="3"/>
    <w:qFormat/>
    <w:uiPriority w:val="0"/>
    <w:rPr>
      <w:color w:val="333333"/>
      <w:u w:val="none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3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176</Words>
  <Characters>1008</Characters>
  <Lines>8</Lines>
  <Paragraphs>2</Paragraphs>
  <TotalTime>48</TotalTime>
  <ScaleCrop>false</ScaleCrop>
  <LinksUpToDate>false</LinksUpToDate>
  <CharactersWithSpaces>1182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2021-04-15T06:41:00Z</cp:lastPrinted>
  <dcterms:modified xsi:type="dcterms:W3CDTF">2021-04-30T03:30:01Z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10EB21358B9B45FF8C8CDB36461ECD8A</vt:lpwstr>
  </property>
</Properties>
</file>